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1C1E" w14:textId="515A0D3D" w:rsidR="00FA4B16" w:rsidRDefault="00BB1E6A" w:rsidP="74164EAF">
      <w:pPr>
        <w:spacing w:line="360" w:lineRule="auto"/>
        <w:rPr>
          <w:rFonts w:ascii="Lato" w:eastAsia="Lato" w:hAnsi="Lato" w:cs="Lato"/>
          <w:b/>
          <w:bCs/>
          <w:sz w:val="26"/>
          <w:szCs w:val="26"/>
          <w:u w:val="single"/>
          <w:lang w:val="en-CA"/>
        </w:rPr>
      </w:pPr>
      <w:bookmarkStart w:id="0" w:name="_Int_8eMqgq39"/>
      <w:r w:rsidRPr="74164EAF">
        <w:rPr>
          <w:rFonts w:ascii="Lato" w:eastAsia="Lato" w:hAnsi="Lato" w:cs="Lato"/>
          <w:b/>
          <w:bCs/>
          <w:sz w:val="32"/>
          <w:szCs w:val="32"/>
          <w:lang w:val="en-CA"/>
        </w:rPr>
        <w:t>Hydrogeological Screening Tool</w:t>
      </w:r>
      <w:bookmarkEnd w:id="0"/>
    </w:p>
    <w:p w14:paraId="65F079ED" w14:textId="5F2905BE" w:rsidR="00FA4B16" w:rsidRDefault="00FA4B16" w:rsidP="74164EAF">
      <w:pPr>
        <w:spacing w:line="360" w:lineRule="auto"/>
        <w:rPr>
          <w:rFonts w:ascii="Lato" w:eastAsia="Lato" w:hAnsi="Lato" w:cs="Lato"/>
          <w:b/>
          <w:bCs/>
          <w:sz w:val="26"/>
          <w:szCs w:val="26"/>
          <w:u w:val="single"/>
          <w:lang w:val="en-CA"/>
        </w:rPr>
      </w:pPr>
      <w:r w:rsidRPr="74164EAF">
        <w:rPr>
          <w:rFonts w:ascii="Lato" w:eastAsia="Lato" w:hAnsi="Lato" w:cs="Lato"/>
          <w:b/>
          <w:bCs/>
          <w:sz w:val="26"/>
          <w:szCs w:val="26"/>
          <w:u w:val="single"/>
          <w:lang w:val="en-CA"/>
        </w:rPr>
        <w:t>Checklist For Applicant</w:t>
      </w:r>
    </w:p>
    <w:p w14:paraId="55826ECF" w14:textId="5CAC3333" w:rsidR="00FA4B16" w:rsidRDefault="00FA4B16" w:rsidP="00FA4B16">
      <w:pPr>
        <w:spacing w:before="1" w:line="240" w:lineRule="auto"/>
        <w:ind w:right="4"/>
        <w:rPr>
          <w:rFonts w:ascii="Lato" w:eastAsia="Lato" w:hAnsi="Lato" w:cs="Lato"/>
          <w:sz w:val="24"/>
          <w:szCs w:val="24"/>
          <w:lang w:val="en-CA"/>
        </w:rPr>
      </w:pPr>
      <w:r w:rsidRPr="4CC94402">
        <w:rPr>
          <w:rFonts w:ascii="Lato" w:eastAsia="Lato" w:hAnsi="Lato" w:cs="Lato"/>
          <w:sz w:val="24"/>
          <w:szCs w:val="24"/>
          <w:lang w:val="en-CA"/>
        </w:rPr>
        <w:t xml:space="preserve">When a person </w:t>
      </w:r>
      <w:proofErr w:type="gramStart"/>
      <w:r w:rsidRPr="4CC94402">
        <w:rPr>
          <w:rFonts w:ascii="Lato" w:eastAsia="Lato" w:hAnsi="Lato" w:cs="Lato"/>
          <w:sz w:val="24"/>
          <w:szCs w:val="24"/>
          <w:lang w:val="en-CA"/>
        </w:rPr>
        <w:t>submits an application</w:t>
      </w:r>
      <w:proofErr w:type="gramEnd"/>
      <w:r w:rsidRPr="4CC94402">
        <w:rPr>
          <w:rFonts w:ascii="Lato" w:eastAsia="Lato" w:hAnsi="Lato" w:cs="Lato"/>
          <w:sz w:val="24"/>
          <w:szCs w:val="24"/>
          <w:lang w:val="en-CA"/>
        </w:rPr>
        <w:t xml:space="preserve"> for </w:t>
      </w:r>
      <w:r>
        <w:rPr>
          <w:rFonts w:ascii="Lato" w:eastAsia="Lato" w:hAnsi="Lato" w:cs="Lato"/>
          <w:sz w:val="24"/>
          <w:szCs w:val="24"/>
          <w:lang w:val="en-CA"/>
        </w:rPr>
        <w:t>development</w:t>
      </w:r>
      <w:r w:rsidRPr="4CC94402">
        <w:rPr>
          <w:rFonts w:ascii="Lato" w:eastAsia="Lato" w:hAnsi="Lato" w:cs="Lato"/>
          <w:sz w:val="24"/>
          <w:szCs w:val="24"/>
          <w:lang w:val="en-CA"/>
        </w:rPr>
        <w:t xml:space="preserve"> that has the effect of creating one or more new lots</w:t>
      </w:r>
      <w:r>
        <w:rPr>
          <w:rFonts w:ascii="Lato" w:eastAsia="Lato" w:hAnsi="Lato" w:cs="Lato"/>
          <w:sz w:val="24"/>
          <w:szCs w:val="24"/>
          <w:lang w:val="en-CA"/>
        </w:rPr>
        <w:t xml:space="preserve"> or is proposing development on an undersized parcel</w:t>
      </w:r>
      <w:r w:rsidRPr="4CC94402">
        <w:rPr>
          <w:rFonts w:ascii="Lato" w:eastAsia="Lato" w:hAnsi="Lato" w:cs="Lato"/>
          <w:sz w:val="24"/>
          <w:szCs w:val="24"/>
          <w:lang w:val="en-CA"/>
        </w:rPr>
        <w:t xml:space="preserve">, a professional confirmation of sufficient and potable water supply will be required as part of a completed application if any of the following apply: </w:t>
      </w:r>
    </w:p>
    <w:p w14:paraId="07E1E2C1" w14:textId="349530EB" w:rsidR="00FA4B16" w:rsidRDefault="00FA4B16" w:rsidP="00FA4B16">
      <w:pPr>
        <w:pStyle w:val="ListParagraph"/>
        <w:numPr>
          <w:ilvl w:val="0"/>
          <w:numId w:val="6"/>
        </w:numPr>
        <w:spacing w:line="360" w:lineRule="auto"/>
        <w:rPr>
          <w:rFonts w:ascii="Lato" w:eastAsia="Lato" w:hAnsi="Lato" w:cs="Lato"/>
          <w:sz w:val="24"/>
          <w:szCs w:val="24"/>
        </w:rPr>
      </w:pPr>
      <w:r w:rsidRPr="4CC94402">
        <w:rPr>
          <w:rFonts w:ascii="Lato" w:eastAsia="Lato" w:hAnsi="Lato" w:cs="Lato"/>
          <w:sz w:val="24"/>
          <w:szCs w:val="24"/>
        </w:rPr>
        <w:t xml:space="preserve">The development involves the creation of a new lot that is less than 1 ha in </w:t>
      </w:r>
      <w:r w:rsidR="00D808D9" w:rsidRPr="4CC94402">
        <w:rPr>
          <w:rFonts w:ascii="Lato" w:eastAsia="Lato" w:hAnsi="Lato" w:cs="Lato"/>
          <w:sz w:val="24"/>
          <w:szCs w:val="24"/>
        </w:rPr>
        <w:t>size.</w:t>
      </w:r>
      <w:r w:rsidRPr="4CC94402">
        <w:rPr>
          <w:rFonts w:ascii="Lato" w:eastAsia="Lato" w:hAnsi="Lato" w:cs="Lato"/>
          <w:sz w:val="24"/>
          <w:szCs w:val="24"/>
        </w:rPr>
        <w:t xml:space="preserve"> </w:t>
      </w:r>
    </w:p>
    <w:p w14:paraId="7FC4BAA2" w14:textId="305A76D1" w:rsidR="00FA4B16" w:rsidRDefault="00FA4B16" w:rsidP="00FA4B16">
      <w:pPr>
        <w:pStyle w:val="ListParagraph"/>
        <w:numPr>
          <w:ilvl w:val="0"/>
          <w:numId w:val="6"/>
        </w:numPr>
        <w:spacing w:line="240" w:lineRule="auto"/>
        <w:ind w:left="714" w:hanging="357"/>
        <w:contextualSpacing w:val="0"/>
        <w:rPr>
          <w:rFonts w:ascii="Lato" w:eastAsia="Lato" w:hAnsi="Lato" w:cs="Lato"/>
          <w:sz w:val="24"/>
          <w:szCs w:val="24"/>
        </w:rPr>
      </w:pPr>
      <w:r w:rsidRPr="4CC94402">
        <w:rPr>
          <w:rFonts w:ascii="Lato" w:eastAsia="Lato" w:hAnsi="Lato" w:cs="Lato"/>
          <w:sz w:val="24"/>
          <w:szCs w:val="24"/>
        </w:rPr>
        <w:t xml:space="preserve">A proposed lot is located within 150 m of </w:t>
      </w:r>
      <w:r w:rsidR="009012A5">
        <w:rPr>
          <w:rFonts w:ascii="Lato" w:eastAsia="Lato" w:hAnsi="Lato" w:cs="Lato"/>
          <w:sz w:val="24"/>
          <w:szCs w:val="24"/>
        </w:rPr>
        <w:t>seven</w:t>
      </w:r>
      <w:r w:rsidRPr="4CC94402">
        <w:rPr>
          <w:rFonts w:ascii="Lato" w:eastAsia="Lato" w:hAnsi="Lato" w:cs="Lato"/>
          <w:sz w:val="24"/>
          <w:szCs w:val="24"/>
        </w:rPr>
        <w:t xml:space="preserve"> other existing dwellings that are serviced with private well and septic</w:t>
      </w:r>
      <w:r w:rsidR="00D808D9">
        <w:rPr>
          <w:rFonts w:ascii="Lato" w:eastAsia="Lato" w:hAnsi="Lato" w:cs="Lato"/>
          <w:sz w:val="24"/>
          <w:szCs w:val="24"/>
        </w:rPr>
        <w:t>.</w:t>
      </w:r>
      <w:r w:rsidRPr="4CC94402">
        <w:rPr>
          <w:rFonts w:ascii="Lato" w:eastAsia="Lato" w:hAnsi="Lato" w:cs="Lato"/>
          <w:sz w:val="24"/>
          <w:szCs w:val="24"/>
        </w:rPr>
        <w:t xml:space="preserve"> </w:t>
      </w:r>
    </w:p>
    <w:p w14:paraId="3938E5B8" w14:textId="7C1C0171" w:rsidR="00FA4B16" w:rsidRDefault="00FA4B16" w:rsidP="00FA4B16">
      <w:pPr>
        <w:pStyle w:val="ListParagraph"/>
        <w:numPr>
          <w:ilvl w:val="0"/>
          <w:numId w:val="6"/>
        </w:numPr>
        <w:spacing w:line="240" w:lineRule="auto"/>
        <w:ind w:left="714" w:hanging="357"/>
        <w:contextualSpacing w:val="0"/>
        <w:rPr>
          <w:rFonts w:ascii="Lato" w:eastAsia="Lato" w:hAnsi="Lato" w:cs="Lato"/>
          <w:sz w:val="24"/>
          <w:szCs w:val="24"/>
        </w:rPr>
      </w:pPr>
      <w:r w:rsidRPr="4CC94402">
        <w:rPr>
          <w:rFonts w:ascii="Lato" w:eastAsia="Lato" w:hAnsi="Lato" w:cs="Lato"/>
          <w:sz w:val="24"/>
          <w:szCs w:val="24"/>
        </w:rPr>
        <w:t>A proposed lot is within one of the influence areas identified in pits and quarries, adjacent agricultural uses, waste disposal sites or sewage treatment of the Official Plan</w:t>
      </w:r>
      <w:r w:rsidR="00D808D9">
        <w:rPr>
          <w:rFonts w:ascii="Lato" w:eastAsia="Lato" w:hAnsi="Lato" w:cs="Lato"/>
          <w:sz w:val="24"/>
          <w:szCs w:val="24"/>
        </w:rPr>
        <w:t>.</w:t>
      </w:r>
    </w:p>
    <w:p w14:paraId="360D4186" w14:textId="0787961A" w:rsidR="00FA4B16" w:rsidRPr="00FA4B16" w:rsidRDefault="00FA4B16" w:rsidP="00FA4B16">
      <w:pPr>
        <w:pStyle w:val="ListParagraph"/>
        <w:numPr>
          <w:ilvl w:val="0"/>
          <w:numId w:val="6"/>
        </w:numPr>
        <w:spacing w:line="240" w:lineRule="auto"/>
        <w:ind w:left="714" w:hanging="357"/>
        <w:contextualSpacing w:val="0"/>
        <w:rPr>
          <w:rFonts w:ascii="Lato" w:eastAsia="Lato" w:hAnsi="Lato" w:cs="Lato"/>
          <w:sz w:val="24"/>
          <w:szCs w:val="24"/>
        </w:rPr>
      </w:pPr>
      <w:r w:rsidRPr="4CC94402">
        <w:rPr>
          <w:rFonts w:ascii="Lato" w:eastAsia="Lato" w:hAnsi="Lato" w:cs="Lato"/>
          <w:sz w:val="24"/>
          <w:szCs w:val="24"/>
        </w:rPr>
        <w:t>The development is taking place in an area of known hydrologic sensitivity or the local area has known or suspected water quality or quantity issues.</w:t>
      </w:r>
    </w:p>
    <w:p w14:paraId="4B0BEB1D" w14:textId="251DBD47" w:rsidR="00BB1E6A" w:rsidRDefault="00BB1E6A" w:rsidP="00FA4B16">
      <w:pPr>
        <w:spacing w:line="360" w:lineRule="auto"/>
        <w:rPr>
          <w:rFonts w:ascii="Lato" w:eastAsia="Lato" w:hAnsi="Lato" w:cs="Lato"/>
          <w:b/>
          <w:bCs/>
          <w:sz w:val="26"/>
          <w:szCs w:val="26"/>
          <w:lang w:val="en-CA"/>
        </w:rPr>
      </w:pPr>
      <w:r>
        <w:rPr>
          <w:noProof/>
        </w:rPr>
        <mc:AlternateContent>
          <mc:Choice Requires="wps">
            <w:drawing>
              <wp:inline distT="0" distB="0" distL="0" distR="0" wp14:anchorId="00F324C3" wp14:editId="0E05557D">
                <wp:extent cx="5943600" cy="33475"/>
                <wp:effectExtent l="0" t="0" r="19050" b="24130"/>
                <wp:docPr id="413231837" name="Rectangle 1"/>
                <wp:cNvGraphicFramePr/>
                <a:graphic xmlns:a="http://schemas.openxmlformats.org/drawingml/2006/main">
                  <a:graphicData uri="http://schemas.microsoft.com/office/word/2010/wordprocessingShape">
                    <wps:wsp>
                      <wps:cNvSpPr/>
                      <wps:spPr>
                        <a:xfrm>
                          <a:off x="0" y="0"/>
                          <a:ext cx="5943600" cy="3347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14="http://schemas.microsoft.com/office/drawing/2010/main" xmlns:pic="http://schemas.openxmlformats.org/drawingml/2006/picture" xmlns:a="http://schemas.openxmlformats.org/drawingml/2006/main">
            <w:pict>
              <v:rect id="Rectangle 1" style="width:468pt;height:2.65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color="#1f3763 [1604]" strokeweight="1pt" w14:anchorId="44EDD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">
                <w10:anchorlock/>
              </v:rect>
            </w:pict>
          </mc:Fallback>
        </mc:AlternateContent>
      </w:r>
    </w:p>
    <w:p w14:paraId="2E92687C" w14:textId="7B887886" w:rsidR="00FA4B16" w:rsidRPr="00FA4B16" w:rsidRDefault="00FA4B16" w:rsidP="74164EAF">
      <w:pPr>
        <w:spacing w:line="360" w:lineRule="auto"/>
        <w:rPr>
          <w:rFonts w:ascii="Lato" w:eastAsia="Lato" w:hAnsi="Lato" w:cs="Lato"/>
          <w:b/>
          <w:bCs/>
          <w:sz w:val="26"/>
          <w:szCs w:val="26"/>
          <w:u w:val="single"/>
          <w:lang w:val="en-CA"/>
        </w:rPr>
      </w:pPr>
      <w:r w:rsidRPr="74164EAF">
        <w:rPr>
          <w:rFonts w:ascii="Lato" w:eastAsia="Lato" w:hAnsi="Lato" w:cs="Lato"/>
          <w:b/>
          <w:bCs/>
          <w:sz w:val="26"/>
          <w:szCs w:val="26"/>
          <w:u w:val="single"/>
          <w:lang w:val="en-CA"/>
        </w:rPr>
        <w:t>Scoped Hydrogeological Assessment</w:t>
      </w:r>
    </w:p>
    <w:p w14:paraId="4265F694" w14:textId="41BF2966" w:rsidR="00FA4B16" w:rsidRDefault="00FA4B16" w:rsidP="00FA4B16">
      <w:pPr>
        <w:spacing w:before="1" w:line="240" w:lineRule="auto"/>
        <w:ind w:right="4"/>
        <w:rPr>
          <w:rFonts w:ascii="Lato" w:eastAsia="Lato" w:hAnsi="Lato" w:cs="Lato"/>
          <w:color w:val="000000" w:themeColor="text1"/>
          <w:sz w:val="24"/>
          <w:szCs w:val="24"/>
        </w:rPr>
      </w:pPr>
      <w:r w:rsidRPr="00FA4B16">
        <w:rPr>
          <w:rFonts w:ascii="Lato" w:eastAsia="Lato" w:hAnsi="Lato" w:cs="Lato"/>
          <w:color w:val="000000" w:themeColor="text1"/>
          <w:sz w:val="24"/>
          <w:szCs w:val="24"/>
        </w:rPr>
        <w:t xml:space="preserve">A scoped hydrogeological assessment will be required as part of a complete planning application in the circumstances referenced above. If an applicant is required to undertake a scoped hydrogeological assessment as per this screening tool, at the pre-consultation stage Municipal Staff will ensure that a formal pre-consultation with the Municipality’s consultant is held.  </w:t>
      </w:r>
    </w:p>
    <w:p w14:paraId="08BEA0AE" w14:textId="023404E1" w:rsidR="00FA4B16" w:rsidRDefault="71D093C2" w:rsidP="005B5A7C">
      <w:pPr>
        <w:spacing w:before="1" w:line="240" w:lineRule="auto"/>
        <w:ind w:right="4"/>
        <w:rPr>
          <w:rFonts w:ascii="Lato" w:eastAsia="Lato" w:hAnsi="Lato" w:cs="Lato"/>
          <w:color w:val="000000" w:themeColor="text1"/>
          <w:sz w:val="24"/>
          <w:szCs w:val="24"/>
        </w:rPr>
      </w:pPr>
      <w:r w:rsidRPr="4CC94402">
        <w:rPr>
          <w:rFonts w:ascii="Lato" w:eastAsia="Lato" w:hAnsi="Lato" w:cs="Lato"/>
          <w:color w:val="000000" w:themeColor="text1"/>
          <w:sz w:val="24"/>
          <w:szCs w:val="24"/>
        </w:rPr>
        <w:t xml:space="preserve">Sections two (2) and three (3) of this </w:t>
      </w:r>
      <w:proofErr w:type="gramStart"/>
      <w:r w:rsidRPr="4CC94402">
        <w:rPr>
          <w:rFonts w:ascii="Lato" w:eastAsia="Lato" w:hAnsi="Lato" w:cs="Lato"/>
          <w:color w:val="000000" w:themeColor="text1"/>
          <w:sz w:val="24"/>
          <w:szCs w:val="24"/>
        </w:rPr>
        <w:t>document</w:t>
      </w:r>
      <w:proofErr w:type="gramEnd"/>
      <w:r w:rsidRPr="4CC94402">
        <w:rPr>
          <w:rFonts w:ascii="Lato" w:eastAsia="Lato" w:hAnsi="Lato" w:cs="Lato"/>
          <w:color w:val="000000" w:themeColor="text1"/>
          <w:sz w:val="24"/>
          <w:szCs w:val="24"/>
        </w:rPr>
        <w:t xml:space="preserve"> provide a summary of the reporting requirements and related policies and industry guidance, respectively. </w:t>
      </w:r>
    </w:p>
    <w:p w14:paraId="31E5D133" w14:textId="77777777" w:rsidR="00FA4B16" w:rsidRDefault="71D093C2" w:rsidP="005B5A7C">
      <w:pPr>
        <w:spacing w:before="1" w:line="240" w:lineRule="auto"/>
        <w:ind w:right="4"/>
        <w:rPr>
          <w:rFonts w:ascii="Lato" w:eastAsia="Lato" w:hAnsi="Lato" w:cs="Lato"/>
          <w:color w:val="000000" w:themeColor="text1"/>
          <w:sz w:val="24"/>
          <w:szCs w:val="24"/>
        </w:rPr>
      </w:pPr>
      <w:r w:rsidRPr="4CC94402">
        <w:rPr>
          <w:rFonts w:ascii="Lato" w:eastAsia="Lato" w:hAnsi="Lato" w:cs="Lato"/>
          <w:color w:val="000000" w:themeColor="text1"/>
          <w:sz w:val="24"/>
          <w:szCs w:val="24"/>
        </w:rPr>
        <w:t xml:space="preserve">Section four (4) provides a checklist of reporting requirements that is to be interpreted and used by qualified professionals. </w:t>
      </w:r>
    </w:p>
    <w:p w14:paraId="7BB7825D" w14:textId="77777777" w:rsidR="00BB1E6A" w:rsidRDefault="71D093C2" w:rsidP="00BB1E6A">
      <w:pPr>
        <w:rPr>
          <w:rFonts w:ascii="Lato" w:eastAsia="Lato" w:hAnsi="Lato" w:cs="Lato"/>
          <w:b/>
          <w:bCs/>
          <w:sz w:val="26"/>
          <w:szCs w:val="26"/>
          <w:lang w:val="en-CA"/>
        </w:rPr>
      </w:pPr>
      <w:r w:rsidRPr="74F2A41A">
        <w:rPr>
          <w:rFonts w:ascii="Lato" w:eastAsia="Lato" w:hAnsi="Lato" w:cs="Lato"/>
          <w:color w:val="000000" w:themeColor="text1"/>
          <w:sz w:val="24"/>
          <w:szCs w:val="24"/>
        </w:rPr>
        <w:t>Section (5) provides a checklist for an applicant to assist with determining if a hydrogeological assessment may be required prior to development approval.</w:t>
      </w:r>
      <w:r w:rsidR="00BB1E6A" w:rsidRPr="74F2A41A">
        <w:rPr>
          <w:rFonts w:ascii="Lato" w:eastAsia="Lato" w:hAnsi="Lato" w:cs="Lato"/>
          <w:b/>
          <w:bCs/>
          <w:sz w:val="26"/>
          <w:szCs w:val="26"/>
          <w:lang w:val="en-CA"/>
        </w:rPr>
        <w:t xml:space="preserve"> </w:t>
      </w:r>
    </w:p>
    <w:p w14:paraId="14B98504" w14:textId="1A02E27D" w:rsidR="00BB1E6A" w:rsidRPr="00FA4B16" w:rsidRDefault="00BB1E6A" w:rsidP="74164EAF">
      <w:pPr>
        <w:rPr>
          <w:rFonts w:ascii="Lato" w:eastAsia="Lato" w:hAnsi="Lato" w:cs="Lato"/>
          <w:b/>
          <w:bCs/>
          <w:sz w:val="26"/>
          <w:szCs w:val="26"/>
          <w:u w:val="single"/>
          <w:lang w:val="en-CA"/>
        </w:rPr>
      </w:pPr>
      <w:r w:rsidRPr="74164EAF">
        <w:rPr>
          <w:rFonts w:ascii="Lato" w:eastAsia="Lato" w:hAnsi="Lato" w:cs="Lato"/>
          <w:b/>
          <w:bCs/>
          <w:sz w:val="26"/>
          <w:szCs w:val="26"/>
          <w:u w:val="single"/>
          <w:lang w:val="en-CA"/>
        </w:rPr>
        <w:t>Section One - Overview</w:t>
      </w:r>
    </w:p>
    <w:p w14:paraId="2C30A44D" w14:textId="77777777" w:rsidR="00BB1E6A" w:rsidRDefault="00BB1E6A" w:rsidP="00BB1E6A">
      <w:pPr>
        <w:spacing w:before="1" w:line="240" w:lineRule="auto"/>
        <w:ind w:right="4"/>
        <w:rPr>
          <w:rFonts w:ascii="Lato" w:eastAsia="Lato" w:hAnsi="Lato" w:cs="Lato"/>
          <w:color w:val="000000" w:themeColor="text1"/>
          <w:sz w:val="24"/>
          <w:szCs w:val="24"/>
          <w:lang w:val="en-CA"/>
        </w:rPr>
      </w:pPr>
      <w:r w:rsidRPr="4CC94402">
        <w:rPr>
          <w:rFonts w:ascii="Lato" w:eastAsia="Lato" w:hAnsi="Lato" w:cs="Lato"/>
          <w:color w:val="000000" w:themeColor="text1"/>
          <w:sz w:val="24"/>
          <w:szCs w:val="24"/>
        </w:rPr>
        <w:t xml:space="preserve">The Municipality has consultants on retainer to provide technical advice to the Municipality about the suitability of hydrogeological reports that are produced in support of privately serviced development applications. The consultant’s advice, which is based on provincial guidance and current industry standards, aims to reasonably protect </w:t>
      </w:r>
      <w:r w:rsidRPr="4CC94402">
        <w:rPr>
          <w:rFonts w:ascii="Lato" w:eastAsia="Lato" w:hAnsi="Lato" w:cs="Lato"/>
          <w:color w:val="000000" w:themeColor="text1"/>
          <w:sz w:val="24"/>
          <w:szCs w:val="24"/>
        </w:rPr>
        <w:lastRenderedPageBreak/>
        <w:t>existing and future private groundwater supplies, thereby supporting the longevity of development at these sites and the health of existing and future residents.</w:t>
      </w:r>
    </w:p>
    <w:p w14:paraId="4E6E270B" w14:textId="33D0A2FC" w:rsidR="0491DF15" w:rsidRDefault="0491DF15" w:rsidP="4CC94402">
      <w:pPr>
        <w:spacing w:line="360" w:lineRule="auto"/>
        <w:rPr>
          <w:rFonts w:ascii="Lato" w:eastAsia="Lato" w:hAnsi="Lato" w:cs="Lato"/>
          <w:sz w:val="24"/>
          <w:szCs w:val="24"/>
          <w:lang w:val="en-CA"/>
        </w:rPr>
      </w:pPr>
      <w:r>
        <w:rPr>
          <w:noProof/>
        </w:rPr>
        <mc:AlternateContent>
          <mc:Choice Requires="wps">
            <w:drawing>
              <wp:inline distT="0" distB="0" distL="0" distR="0" wp14:anchorId="6DF60DA1" wp14:editId="131D6690">
                <wp:extent cx="6088380" cy="34290"/>
                <wp:effectExtent l="0" t="0" r="26670" b="22860"/>
                <wp:docPr id="1260785239"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467495F4" w14:textId="77D1F712" w:rsidR="28526BAD" w:rsidRPr="00FA4B16" w:rsidRDefault="00FA4B16" w:rsidP="74164EAF">
      <w:pPr>
        <w:spacing w:line="360" w:lineRule="auto"/>
        <w:rPr>
          <w:rFonts w:ascii="Lato" w:eastAsia="Lato" w:hAnsi="Lato" w:cs="Lato"/>
          <w:b/>
          <w:bCs/>
          <w:sz w:val="26"/>
          <w:szCs w:val="26"/>
          <w:u w:val="single"/>
          <w:lang w:val="en-CA"/>
        </w:rPr>
      </w:pPr>
      <w:r w:rsidRPr="74164EAF">
        <w:rPr>
          <w:rFonts w:ascii="Lato" w:eastAsia="Lato" w:hAnsi="Lato" w:cs="Lato"/>
          <w:b/>
          <w:bCs/>
          <w:sz w:val="26"/>
          <w:szCs w:val="26"/>
          <w:u w:val="single"/>
          <w:lang w:val="en-CA"/>
        </w:rPr>
        <w:t xml:space="preserve">Section Two - </w:t>
      </w:r>
      <w:r w:rsidR="28526BAD" w:rsidRPr="74164EAF">
        <w:rPr>
          <w:rFonts w:ascii="Lato" w:eastAsia="Lato" w:hAnsi="Lato" w:cs="Lato"/>
          <w:b/>
          <w:bCs/>
          <w:sz w:val="26"/>
          <w:szCs w:val="26"/>
          <w:u w:val="single"/>
          <w:lang w:val="en-CA"/>
        </w:rPr>
        <w:t>Summary of Reporting Requirements</w:t>
      </w:r>
    </w:p>
    <w:p w14:paraId="7DB26B53" w14:textId="0C32BFDF" w:rsidR="048024CD" w:rsidRPr="005B5A7C" w:rsidRDefault="048024CD" w:rsidP="005B5A7C">
      <w:pPr>
        <w:spacing w:before="1" w:line="240" w:lineRule="auto"/>
        <w:ind w:right="4"/>
        <w:rPr>
          <w:rFonts w:ascii="Lato" w:eastAsia="Lato" w:hAnsi="Lato" w:cs="Lato"/>
          <w:color w:val="000000" w:themeColor="text1"/>
          <w:sz w:val="24"/>
          <w:szCs w:val="24"/>
        </w:rPr>
      </w:pPr>
      <w:r w:rsidRPr="005B5A7C">
        <w:rPr>
          <w:rFonts w:ascii="Lato" w:eastAsia="Lato" w:hAnsi="Lato" w:cs="Lato"/>
          <w:color w:val="000000" w:themeColor="text1"/>
          <w:sz w:val="24"/>
          <w:szCs w:val="24"/>
        </w:rPr>
        <w:t>When the Municipality has determined that a scoped hydrogeology study is required for development, the hydrogeology report is expected to demonstrate a favourable:</w:t>
      </w:r>
    </w:p>
    <w:p w14:paraId="06EECB0D" w14:textId="7B291D8B" w:rsidR="28526BAD" w:rsidRDefault="28526BAD" w:rsidP="74F2A41A">
      <w:pPr>
        <w:spacing w:line="360" w:lineRule="auto"/>
        <w:ind w:firstLine="720"/>
        <w:rPr>
          <w:rFonts w:ascii="Lato" w:eastAsia="Lato" w:hAnsi="Lato" w:cs="Lato"/>
          <w:b/>
          <w:bCs/>
          <w:color w:val="2F5496" w:themeColor="accent1" w:themeShade="BF"/>
          <w:sz w:val="24"/>
          <w:szCs w:val="24"/>
          <w:lang w:val="en-CA"/>
        </w:rPr>
      </w:pPr>
      <w:r w:rsidRPr="74F2A41A">
        <w:rPr>
          <w:rFonts w:ascii="Lato" w:eastAsia="Lato" w:hAnsi="Lato" w:cs="Lato"/>
          <w:b/>
          <w:bCs/>
          <w:color w:val="2F5496" w:themeColor="accent1" w:themeShade="BF"/>
          <w:sz w:val="24"/>
          <w:szCs w:val="24"/>
          <w:lang w:val="en-CA"/>
        </w:rPr>
        <w:t>I. Groundwater Quantity Assessment</w:t>
      </w:r>
    </w:p>
    <w:p w14:paraId="2F90A1C0" w14:textId="4F2B6B02" w:rsidR="28526BAD" w:rsidRPr="005B5A7C" w:rsidRDefault="28526BAD" w:rsidP="005B5A7C">
      <w:pPr>
        <w:spacing w:before="1" w:line="240" w:lineRule="auto"/>
        <w:ind w:right="4"/>
        <w:rPr>
          <w:rFonts w:ascii="Lato" w:eastAsia="Lato" w:hAnsi="Lato" w:cs="Lato"/>
          <w:color w:val="000000" w:themeColor="text1"/>
          <w:sz w:val="24"/>
          <w:szCs w:val="24"/>
        </w:rPr>
      </w:pPr>
      <w:r w:rsidRPr="005B5A7C">
        <w:rPr>
          <w:rFonts w:ascii="Lato" w:eastAsia="Lato" w:hAnsi="Lato" w:cs="Lato"/>
          <w:color w:val="000000" w:themeColor="text1"/>
          <w:sz w:val="24"/>
          <w:szCs w:val="24"/>
        </w:rPr>
        <w:t>Whereby an on‐site well, of specified construction, will be able to provide enough water to run a household on an on‐going basis and not interfere with the use of well water on adjacent properties.</w:t>
      </w:r>
    </w:p>
    <w:p w14:paraId="24D6BE8E" w14:textId="1EB359E6" w:rsidR="28526BAD" w:rsidRDefault="28526BAD" w:rsidP="74F2A41A">
      <w:pPr>
        <w:spacing w:line="360" w:lineRule="auto"/>
        <w:ind w:firstLine="720"/>
        <w:rPr>
          <w:rFonts w:ascii="Lato" w:eastAsia="Lato" w:hAnsi="Lato" w:cs="Lato"/>
          <w:b/>
          <w:bCs/>
          <w:color w:val="2F5496" w:themeColor="accent1" w:themeShade="BF"/>
          <w:sz w:val="24"/>
          <w:szCs w:val="24"/>
          <w:lang w:val="en-CA"/>
        </w:rPr>
      </w:pPr>
      <w:r w:rsidRPr="74F2A41A">
        <w:rPr>
          <w:rFonts w:ascii="Lato" w:eastAsia="Lato" w:hAnsi="Lato" w:cs="Lato"/>
          <w:b/>
          <w:bCs/>
          <w:color w:val="2F5496" w:themeColor="accent1" w:themeShade="BF"/>
          <w:sz w:val="24"/>
          <w:szCs w:val="24"/>
          <w:lang w:val="en-CA"/>
        </w:rPr>
        <w:t>II. Groundwater Quality Assessment</w:t>
      </w:r>
    </w:p>
    <w:p w14:paraId="3DB5A16D" w14:textId="5EF11ADE" w:rsidR="28526BAD" w:rsidRPr="005B5A7C" w:rsidRDefault="28526BAD" w:rsidP="005B5A7C">
      <w:pPr>
        <w:spacing w:before="1" w:line="240" w:lineRule="auto"/>
        <w:ind w:right="4"/>
        <w:rPr>
          <w:rFonts w:ascii="Lato" w:eastAsia="Lato" w:hAnsi="Lato" w:cs="Lato"/>
          <w:color w:val="000000" w:themeColor="text1"/>
          <w:sz w:val="24"/>
          <w:szCs w:val="24"/>
        </w:rPr>
      </w:pPr>
      <w:r w:rsidRPr="005B5A7C">
        <w:rPr>
          <w:rFonts w:ascii="Lato" w:eastAsia="Lato" w:hAnsi="Lato" w:cs="Lato"/>
          <w:color w:val="000000" w:themeColor="text1"/>
          <w:sz w:val="24"/>
          <w:szCs w:val="24"/>
        </w:rPr>
        <w:t>Whereby on‐site groundwater, from a well of specified construction, will meet the Ontario Drinking Water Standards, Objectives and Guidelines. This is to include dissolved heavy metals, when the province has specified a related standard, and parameters associated with local land‐uses.</w:t>
      </w:r>
    </w:p>
    <w:p w14:paraId="4401B291" w14:textId="5CE70A3F" w:rsidR="28526BAD" w:rsidRDefault="28526BAD" w:rsidP="74F2A41A">
      <w:pPr>
        <w:spacing w:line="360" w:lineRule="auto"/>
        <w:ind w:firstLine="720"/>
        <w:rPr>
          <w:rFonts w:ascii="Lato" w:eastAsia="Lato" w:hAnsi="Lato" w:cs="Lato"/>
          <w:b/>
          <w:bCs/>
          <w:color w:val="2F5496" w:themeColor="accent1" w:themeShade="BF"/>
          <w:sz w:val="24"/>
          <w:szCs w:val="24"/>
          <w:lang w:val="en-CA"/>
        </w:rPr>
      </w:pPr>
      <w:r w:rsidRPr="74F2A41A">
        <w:rPr>
          <w:rFonts w:ascii="Lato" w:eastAsia="Lato" w:hAnsi="Lato" w:cs="Lato"/>
          <w:b/>
          <w:bCs/>
          <w:color w:val="2F5496" w:themeColor="accent1" w:themeShade="BF"/>
          <w:sz w:val="24"/>
          <w:szCs w:val="24"/>
          <w:lang w:val="en-CA"/>
        </w:rPr>
        <w:t>III. Terrain Evaluation and Water Quality Impact Risk Analysis</w:t>
      </w:r>
    </w:p>
    <w:p w14:paraId="34F5609A" w14:textId="75FAF638" w:rsidR="28526BAD" w:rsidRDefault="28526BAD" w:rsidP="005B5A7C">
      <w:pPr>
        <w:spacing w:before="1" w:line="240" w:lineRule="auto"/>
        <w:ind w:right="4"/>
        <w:rPr>
          <w:rFonts w:ascii="Lato" w:eastAsia="Lato" w:hAnsi="Lato" w:cs="Lato"/>
          <w:sz w:val="24"/>
          <w:szCs w:val="24"/>
          <w:lang w:val="en-CA"/>
        </w:rPr>
      </w:pPr>
      <w:r w:rsidRPr="005B5A7C">
        <w:rPr>
          <w:rFonts w:ascii="Lato" w:eastAsia="Lato" w:hAnsi="Lato" w:cs="Lato"/>
          <w:color w:val="000000" w:themeColor="text1"/>
          <w:sz w:val="24"/>
          <w:szCs w:val="24"/>
        </w:rPr>
        <w:t xml:space="preserve">Whereby the terrain at the site is suitable, from a planning and groundwater protection perspective, to attenuate the effluent from on‐site wastewater treatment systems such that down gradient land is not impacted </w:t>
      </w:r>
      <w:proofErr w:type="gramStart"/>
      <w:r w:rsidRPr="005B5A7C">
        <w:rPr>
          <w:rFonts w:ascii="Lato" w:eastAsia="Lato" w:hAnsi="Lato" w:cs="Lato"/>
          <w:color w:val="000000" w:themeColor="text1"/>
          <w:sz w:val="24"/>
          <w:szCs w:val="24"/>
        </w:rPr>
        <w:t>in excess of</w:t>
      </w:r>
      <w:proofErr w:type="gramEnd"/>
      <w:r w:rsidRPr="005B5A7C">
        <w:rPr>
          <w:rFonts w:ascii="Lato" w:eastAsia="Lato" w:hAnsi="Lato" w:cs="Lato"/>
          <w:color w:val="000000" w:themeColor="text1"/>
          <w:sz w:val="24"/>
          <w:szCs w:val="24"/>
        </w:rPr>
        <w:t xml:space="preserve"> provincial standards. This requirement is substantially different from the requirements of the Leeds, Grenville and Lanark District Health Unit, which is to ensure that an on‐site wastewater treatment system can be built on the site as per the Ontario Building </w:t>
      </w:r>
      <w:r w:rsidRPr="4CC94402">
        <w:rPr>
          <w:rFonts w:ascii="Lato" w:eastAsia="Lato" w:hAnsi="Lato" w:cs="Lato"/>
          <w:sz w:val="24"/>
          <w:szCs w:val="24"/>
          <w:lang w:val="en-CA"/>
        </w:rPr>
        <w:t xml:space="preserve">Code construction requirements. These requirements are currently addressed separately from each other.  </w:t>
      </w:r>
    </w:p>
    <w:p w14:paraId="693F4939" w14:textId="3EBB2739" w:rsidR="28526BAD" w:rsidRDefault="28526BAD" w:rsidP="4CC94402">
      <w:pPr>
        <w:spacing w:line="360" w:lineRule="auto"/>
        <w:rPr>
          <w:rFonts w:ascii="Lato" w:eastAsia="Lato" w:hAnsi="Lato" w:cs="Lato"/>
          <w:sz w:val="24"/>
          <w:szCs w:val="24"/>
          <w:lang w:val="en-CA"/>
        </w:rPr>
      </w:pPr>
      <w:r w:rsidRPr="4CC94402">
        <w:rPr>
          <w:rFonts w:ascii="Lato" w:eastAsia="Lato" w:hAnsi="Lato" w:cs="Lato"/>
          <w:sz w:val="24"/>
          <w:szCs w:val="24"/>
          <w:lang w:val="en-CA"/>
        </w:rPr>
        <w:t>In addition, the hydrogeology report should provide:</w:t>
      </w:r>
    </w:p>
    <w:p w14:paraId="585A12A5" w14:textId="165D0A9F" w:rsidR="28526BAD" w:rsidRDefault="28526BAD" w:rsidP="74F2A41A">
      <w:pPr>
        <w:spacing w:line="360" w:lineRule="auto"/>
        <w:ind w:firstLine="720"/>
        <w:rPr>
          <w:rFonts w:ascii="Lato" w:eastAsia="Lato" w:hAnsi="Lato" w:cs="Lato"/>
          <w:b/>
          <w:bCs/>
          <w:color w:val="2F5496" w:themeColor="accent1" w:themeShade="BF"/>
          <w:sz w:val="24"/>
          <w:szCs w:val="24"/>
          <w:lang w:val="en-CA"/>
        </w:rPr>
      </w:pPr>
      <w:r w:rsidRPr="74F2A41A">
        <w:rPr>
          <w:rFonts w:ascii="Lato" w:eastAsia="Lato" w:hAnsi="Lato" w:cs="Lato"/>
          <w:b/>
          <w:bCs/>
          <w:color w:val="2F5496" w:themeColor="accent1" w:themeShade="BF"/>
          <w:sz w:val="24"/>
          <w:szCs w:val="24"/>
          <w:lang w:val="en-CA"/>
        </w:rPr>
        <w:t>IV. Conclusions and Recommendations</w:t>
      </w:r>
    </w:p>
    <w:p w14:paraId="4DF3A549" w14:textId="16A78B9C" w:rsidR="7E9DC08A" w:rsidRPr="005B5A7C" w:rsidRDefault="7E9DC08A" w:rsidP="005B5A7C">
      <w:pPr>
        <w:spacing w:before="1" w:line="240" w:lineRule="auto"/>
        <w:ind w:right="4"/>
        <w:rPr>
          <w:rFonts w:ascii="Lato" w:eastAsia="Lato" w:hAnsi="Lato" w:cs="Lato"/>
          <w:color w:val="000000" w:themeColor="text1"/>
          <w:sz w:val="24"/>
          <w:szCs w:val="24"/>
        </w:rPr>
      </w:pPr>
      <w:r w:rsidRPr="005B5A7C">
        <w:rPr>
          <w:rFonts w:ascii="Lato" w:eastAsia="Lato" w:hAnsi="Lato" w:cs="Lato"/>
          <w:color w:val="000000" w:themeColor="text1"/>
          <w:sz w:val="24"/>
          <w:szCs w:val="24"/>
        </w:rPr>
        <w:t xml:space="preserve">Where these are to be detailed </w:t>
      </w:r>
      <w:r w:rsidR="32E5E941" w:rsidRPr="005B5A7C">
        <w:rPr>
          <w:rFonts w:ascii="Lato" w:eastAsia="Lato" w:hAnsi="Lato" w:cs="Lato"/>
          <w:color w:val="000000" w:themeColor="text1"/>
          <w:sz w:val="24"/>
          <w:szCs w:val="24"/>
        </w:rPr>
        <w:t>site-specific</w:t>
      </w:r>
      <w:r w:rsidRPr="005B5A7C">
        <w:rPr>
          <w:rFonts w:ascii="Lato" w:eastAsia="Lato" w:hAnsi="Lato" w:cs="Lato"/>
          <w:color w:val="000000" w:themeColor="text1"/>
          <w:sz w:val="24"/>
          <w:szCs w:val="24"/>
        </w:rPr>
        <w:t xml:space="preserve"> requirements, as determined by a qualified professional, that will be used to guide the Municipality in the implementation of the study recommendations and requirements. The qualified professional provides a substantiated opinion, based on their interpretation of study findings, that the proposed development will have no adverse impact on the reasonable use of groundwater on existing and future adjacent properties.</w:t>
      </w:r>
    </w:p>
    <w:p w14:paraId="2A111C9C" w14:textId="1D2EF03B" w:rsidR="04924136" w:rsidRDefault="04924136" w:rsidP="4CC94402">
      <w:pPr>
        <w:spacing w:line="360" w:lineRule="auto"/>
        <w:rPr>
          <w:rFonts w:ascii="Lato" w:eastAsia="Lato" w:hAnsi="Lato" w:cs="Lato"/>
          <w:sz w:val="24"/>
          <w:szCs w:val="24"/>
          <w:lang w:val="en-CA"/>
        </w:rPr>
      </w:pPr>
      <w:r>
        <w:rPr>
          <w:noProof/>
        </w:rPr>
        <mc:AlternateContent>
          <mc:Choice Requires="wps">
            <w:drawing>
              <wp:inline distT="0" distB="0" distL="0" distR="0" wp14:anchorId="68389C44" wp14:editId="787A1CB5">
                <wp:extent cx="6088380" cy="34290"/>
                <wp:effectExtent l="0" t="0" r="26670" b="22860"/>
                <wp:docPr id="2098291942"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07D84C06" w14:textId="623B68BD" w:rsidR="42A0930E" w:rsidRPr="00FA4B16" w:rsidRDefault="00FA4B16" w:rsidP="74164EAF">
      <w:pPr>
        <w:spacing w:line="360" w:lineRule="auto"/>
        <w:rPr>
          <w:rFonts w:ascii="Lato" w:eastAsia="Lato" w:hAnsi="Lato" w:cs="Lato"/>
          <w:b/>
          <w:bCs/>
          <w:sz w:val="26"/>
          <w:szCs w:val="26"/>
          <w:u w:val="single"/>
          <w:lang w:val="en-CA"/>
        </w:rPr>
      </w:pPr>
      <w:r w:rsidRPr="74164EAF">
        <w:rPr>
          <w:rFonts w:ascii="Lato" w:eastAsia="Lato" w:hAnsi="Lato" w:cs="Lato"/>
          <w:b/>
          <w:bCs/>
          <w:sz w:val="26"/>
          <w:szCs w:val="26"/>
          <w:u w:val="single"/>
          <w:lang w:val="en-CA"/>
        </w:rPr>
        <w:lastRenderedPageBreak/>
        <w:t xml:space="preserve">Section Three – </w:t>
      </w:r>
      <w:r w:rsidR="42A0930E" w:rsidRPr="74164EAF">
        <w:rPr>
          <w:rFonts w:ascii="Lato" w:eastAsia="Lato" w:hAnsi="Lato" w:cs="Lato"/>
          <w:b/>
          <w:bCs/>
          <w:sz w:val="26"/>
          <w:szCs w:val="26"/>
          <w:u w:val="single"/>
          <w:lang w:val="en-CA"/>
        </w:rPr>
        <w:t>Relevant Policies and Guidelines</w:t>
      </w:r>
    </w:p>
    <w:p w14:paraId="68DAB40A" w14:textId="2BF384DE" w:rsidR="4B2B76E8" w:rsidRPr="005B5A7C" w:rsidRDefault="4B2B76E8" w:rsidP="005B5A7C">
      <w:pPr>
        <w:spacing w:before="1" w:line="240" w:lineRule="auto"/>
        <w:ind w:right="4"/>
        <w:rPr>
          <w:rFonts w:ascii="Lato" w:eastAsia="Lato" w:hAnsi="Lato" w:cs="Lato"/>
          <w:color w:val="000000" w:themeColor="text1"/>
          <w:sz w:val="24"/>
          <w:szCs w:val="24"/>
        </w:rPr>
      </w:pPr>
      <w:r w:rsidRPr="005B5A7C">
        <w:rPr>
          <w:rFonts w:ascii="Lato" w:eastAsia="Lato" w:hAnsi="Lato" w:cs="Lato"/>
          <w:color w:val="000000" w:themeColor="text1"/>
          <w:sz w:val="24"/>
          <w:szCs w:val="24"/>
        </w:rPr>
        <w:t>The Municipality’s consultants provide advice based on relevant policies in Mississippi Mills Official Plan; relevant provincial guidance; and current industry expectations. The relevance of the Ministry of the Environment and Climate Change’s guidance to development is given below.</w:t>
      </w:r>
    </w:p>
    <w:p w14:paraId="0E22BF89" w14:textId="1B491E78" w:rsidR="42A0930E" w:rsidRDefault="42A0930E" w:rsidP="005B5A7C">
      <w:pPr>
        <w:pStyle w:val="ListParagraph"/>
        <w:numPr>
          <w:ilvl w:val="0"/>
          <w:numId w:val="14"/>
        </w:numPr>
        <w:spacing w:line="240" w:lineRule="auto"/>
        <w:ind w:left="714" w:hanging="357"/>
        <w:contextualSpacing w:val="0"/>
        <w:rPr>
          <w:rFonts w:ascii="Lato" w:eastAsia="Lato" w:hAnsi="Lato" w:cs="Lato"/>
          <w:sz w:val="24"/>
          <w:szCs w:val="24"/>
          <w:lang w:val="en-CA"/>
        </w:rPr>
      </w:pPr>
      <w:r w:rsidRPr="4CC94402">
        <w:rPr>
          <w:rFonts w:ascii="Lato" w:eastAsia="Lato" w:hAnsi="Lato" w:cs="Lato"/>
          <w:sz w:val="24"/>
          <w:szCs w:val="24"/>
          <w:lang w:val="en-CA"/>
        </w:rPr>
        <w:t xml:space="preserve">Procedure D‐5‐4 Technical Guideline for Individual On‐Site Sewage Systems: Water Quality Impact Risk Assessment (1996) http://www.ontario.ca/document/d‐5‐4‐individual‐site‐sewage‐systems‐water‐quality‐impact‐ risk‐assessment “Although </w:t>
      </w:r>
      <w:proofErr w:type="spellStart"/>
      <w:r w:rsidRPr="4CC94402">
        <w:rPr>
          <w:rFonts w:ascii="Lato" w:eastAsia="Lato" w:hAnsi="Lato" w:cs="Lato"/>
          <w:sz w:val="24"/>
          <w:szCs w:val="24"/>
          <w:lang w:val="en-CA"/>
        </w:rPr>
        <w:t>MOEE</w:t>
      </w:r>
      <w:proofErr w:type="spellEnd"/>
      <w:r w:rsidRPr="4CC94402">
        <w:rPr>
          <w:rFonts w:ascii="Lato" w:eastAsia="Lato" w:hAnsi="Lato" w:cs="Lato"/>
          <w:sz w:val="24"/>
          <w:szCs w:val="24"/>
          <w:lang w:val="en-CA"/>
        </w:rPr>
        <w:t xml:space="preserve"> (1) does not normally review development proposals consisting of 5 or fewer lots, municipalities are encouraged to retain, on their behalf, professionals with demonstrated expertise in hydrogeology with emphasis on development on private services, to review studies prepared in accordance with this Guideline. Municipalities are also encouraged to implement the provisions of this guideline in their consideration of developments by consent or severance.” Further, Procedure D‐5‐4 applies “to residential, commercial and industrial proposals which use individual on‐site sewage disposal systems for the treatment of domestic waste.”</w:t>
      </w:r>
    </w:p>
    <w:p w14:paraId="3C6AB371" w14:textId="59705039" w:rsidR="42A0930E" w:rsidRDefault="42A0930E" w:rsidP="74F2A41A">
      <w:pPr>
        <w:pStyle w:val="ListParagraph"/>
        <w:numPr>
          <w:ilvl w:val="0"/>
          <w:numId w:val="14"/>
        </w:numPr>
        <w:spacing w:line="240" w:lineRule="auto"/>
        <w:ind w:left="714" w:hanging="357"/>
        <w:rPr>
          <w:rFonts w:ascii="Lato" w:eastAsia="Lato" w:hAnsi="Lato" w:cs="Lato"/>
          <w:sz w:val="24"/>
          <w:szCs w:val="24"/>
          <w:lang w:val="en-CA"/>
        </w:rPr>
      </w:pPr>
      <w:r w:rsidRPr="74F2A41A">
        <w:rPr>
          <w:rFonts w:ascii="Lato" w:eastAsia="Lato" w:hAnsi="Lato" w:cs="Lato"/>
          <w:sz w:val="24"/>
          <w:szCs w:val="24"/>
          <w:lang w:val="en-CA"/>
        </w:rPr>
        <w:t xml:space="preserve">Procedure D‐5‐5 Technical Guideline for Private Wells, Water Supply Assessment (1996)  </w:t>
      </w:r>
      <w:r w:rsidRPr="74F2A41A">
        <w:rPr>
          <w:rFonts w:ascii="Lato" w:eastAsia="Lato" w:hAnsi="Lato" w:cs="Lato"/>
          <w:color w:val="5C961D"/>
          <w:sz w:val="24"/>
          <w:szCs w:val="24"/>
          <w:lang w:val="en-CA"/>
        </w:rPr>
        <w:t xml:space="preserve"> </w:t>
      </w:r>
      <w:hyperlink r:id="rId7">
        <w:r w:rsidRPr="74F2A41A">
          <w:rPr>
            <w:rStyle w:val="Hyperlink"/>
            <w:rFonts w:ascii="Lato" w:eastAsia="Lato" w:hAnsi="Lato" w:cs="Lato"/>
            <w:color w:val="5C961D"/>
            <w:sz w:val="24"/>
            <w:szCs w:val="24"/>
            <w:lang w:val="en-CA"/>
          </w:rPr>
          <w:t>http://www.ontario.ca/document/d‐5‐5‐private‐wells‐water‐supply‐assessment</w:t>
        </w:r>
      </w:hyperlink>
      <w:r w:rsidR="1D8D35EE" w:rsidRPr="74F2A41A">
        <w:rPr>
          <w:rFonts w:ascii="Lato" w:eastAsia="Lato" w:hAnsi="Lato" w:cs="Lato"/>
          <w:color w:val="5C961D"/>
          <w:sz w:val="24"/>
          <w:szCs w:val="24"/>
          <w:lang w:val="en-CA"/>
        </w:rPr>
        <w:t xml:space="preserve"> </w:t>
      </w:r>
      <w:r w:rsidRPr="74F2A41A">
        <w:rPr>
          <w:rFonts w:ascii="Lato" w:eastAsia="Lato" w:hAnsi="Lato" w:cs="Lato"/>
          <w:sz w:val="24"/>
          <w:szCs w:val="24"/>
          <w:lang w:val="en-CA"/>
        </w:rPr>
        <w:t xml:space="preserve">“The guideline applies to all development proposals for residential development involving individual well water supplies. Development agreements between the proponent and the municipality … shall be used to bind development to the recommendations of approved hydrogeology studies.” “The guideline also applies to developments for which a plan of condominium is required and to industrial, </w:t>
      </w:r>
      <w:proofErr w:type="gramStart"/>
      <w:r w:rsidRPr="74F2A41A">
        <w:rPr>
          <w:rFonts w:ascii="Lato" w:eastAsia="Lato" w:hAnsi="Lato" w:cs="Lato"/>
          <w:sz w:val="24"/>
          <w:szCs w:val="24"/>
          <w:lang w:val="en-CA"/>
        </w:rPr>
        <w:t>commercial</w:t>
      </w:r>
      <w:proofErr w:type="gramEnd"/>
      <w:r w:rsidRPr="74F2A41A">
        <w:rPr>
          <w:rFonts w:ascii="Lato" w:eastAsia="Lato" w:hAnsi="Lato" w:cs="Lato"/>
          <w:sz w:val="24"/>
          <w:szCs w:val="24"/>
          <w:lang w:val="en-CA"/>
        </w:rPr>
        <w:t xml:space="preserve"> or institutional developments where water is used for human consumption. “Procedure D‐5‐5 indicates that “Although </w:t>
      </w:r>
      <w:proofErr w:type="spellStart"/>
      <w:r w:rsidRPr="74F2A41A">
        <w:rPr>
          <w:rFonts w:ascii="Lato" w:eastAsia="Lato" w:hAnsi="Lato" w:cs="Lato"/>
          <w:sz w:val="24"/>
          <w:szCs w:val="24"/>
          <w:lang w:val="en-CA"/>
        </w:rPr>
        <w:t>MOEE</w:t>
      </w:r>
      <w:proofErr w:type="spellEnd"/>
      <w:r w:rsidRPr="74F2A41A">
        <w:rPr>
          <w:rFonts w:ascii="Lato" w:eastAsia="Lato" w:hAnsi="Lato" w:cs="Lato"/>
          <w:sz w:val="24"/>
          <w:szCs w:val="24"/>
          <w:lang w:val="en-CA"/>
        </w:rPr>
        <w:t xml:space="preserve"> does not normally review development proposals consisting of five or fewer private residences, the Ministry recommends that supplies serving five or fewer private residences should use the </w:t>
      </w:r>
      <w:proofErr w:type="spellStart"/>
      <w:proofErr w:type="gramStart"/>
      <w:r w:rsidRPr="74F2A41A">
        <w:rPr>
          <w:rFonts w:ascii="Lato" w:eastAsia="Lato" w:hAnsi="Lato" w:cs="Lato"/>
          <w:sz w:val="24"/>
          <w:szCs w:val="24"/>
          <w:lang w:val="en-CA"/>
        </w:rPr>
        <w:t>ODWOs</w:t>
      </w:r>
      <w:proofErr w:type="spellEnd"/>
      <w:r w:rsidRPr="74F2A41A">
        <w:rPr>
          <w:rFonts w:ascii="Lato" w:eastAsia="Lato" w:hAnsi="Lato" w:cs="Lato"/>
          <w:sz w:val="24"/>
          <w:szCs w:val="24"/>
          <w:lang w:val="en-CA"/>
        </w:rPr>
        <w:t>(</w:t>
      </w:r>
      <w:proofErr w:type="gramEnd"/>
      <w:r w:rsidRPr="74F2A41A">
        <w:rPr>
          <w:rFonts w:ascii="Lato" w:eastAsia="Lato" w:hAnsi="Lato" w:cs="Lato"/>
          <w:sz w:val="24"/>
          <w:szCs w:val="24"/>
          <w:lang w:val="en-CA"/>
        </w:rPr>
        <w:t>2) to ensure the quality of drinking water. This recommendation may apply to development by consent or at the official plan amendment stage…” “Where development by severance is considered, determination of the availability of a potable water supply should be made as early as possible in the severance approval process.”</w:t>
      </w:r>
    </w:p>
    <w:p w14:paraId="44C2846E" w14:textId="77777777" w:rsidR="00D808D9" w:rsidRDefault="00D808D9" w:rsidP="00D808D9">
      <w:pPr>
        <w:pStyle w:val="ListParagraph"/>
        <w:spacing w:line="240" w:lineRule="auto"/>
        <w:ind w:left="714"/>
        <w:rPr>
          <w:rFonts w:ascii="Lato" w:eastAsia="Lato" w:hAnsi="Lato" w:cs="Lato"/>
          <w:sz w:val="24"/>
          <w:szCs w:val="24"/>
          <w:lang w:val="en-CA"/>
        </w:rPr>
      </w:pPr>
    </w:p>
    <w:p w14:paraId="738E9A26" w14:textId="52594BB5" w:rsidR="42A0930E" w:rsidRDefault="42A0930E" w:rsidP="005B5A7C">
      <w:pPr>
        <w:pStyle w:val="ListParagraph"/>
        <w:numPr>
          <w:ilvl w:val="0"/>
          <w:numId w:val="14"/>
        </w:numPr>
        <w:spacing w:line="240" w:lineRule="auto"/>
        <w:ind w:left="714" w:hanging="357"/>
        <w:rPr>
          <w:rFonts w:ascii="Lato" w:eastAsia="Lato" w:hAnsi="Lato" w:cs="Lato"/>
          <w:sz w:val="24"/>
          <w:szCs w:val="24"/>
          <w:lang w:val="en-CA"/>
        </w:rPr>
      </w:pPr>
      <w:r w:rsidRPr="74F2A41A">
        <w:rPr>
          <w:rFonts w:ascii="Lato" w:eastAsia="Lato" w:hAnsi="Lato" w:cs="Lato"/>
          <w:sz w:val="24"/>
          <w:szCs w:val="24"/>
          <w:lang w:val="en-CA"/>
        </w:rPr>
        <w:t>Ontario Drinking Water Standards, Objectives and Guidelines (</w:t>
      </w:r>
      <w:proofErr w:type="spellStart"/>
      <w:r w:rsidRPr="74F2A41A">
        <w:rPr>
          <w:rFonts w:ascii="Lato" w:eastAsia="Lato" w:hAnsi="Lato" w:cs="Lato"/>
          <w:sz w:val="24"/>
          <w:szCs w:val="24"/>
          <w:lang w:val="en-CA"/>
        </w:rPr>
        <w:t>ODWSOG</w:t>
      </w:r>
      <w:proofErr w:type="spellEnd"/>
      <w:r w:rsidRPr="74F2A41A">
        <w:rPr>
          <w:rFonts w:ascii="Lato" w:eastAsia="Lato" w:hAnsi="Lato" w:cs="Lato"/>
          <w:sz w:val="24"/>
          <w:szCs w:val="24"/>
          <w:lang w:val="en-CA"/>
        </w:rPr>
        <w:t>) as explained in “Technical Support Document for Ontario Drinking Water Standards, Objectives and Guidelines” (</w:t>
      </w:r>
      <w:proofErr w:type="spellStart"/>
      <w:r w:rsidRPr="74F2A41A">
        <w:rPr>
          <w:rFonts w:ascii="Lato" w:eastAsia="Lato" w:hAnsi="Lato" w:cs="Lato"/>
          <w:sz w:val="24"/>
          <w:szCs w:val="24"/>
          <w:lang w:val="en-CA"/>
        </w:rPr>
        <w:t>MOECC</w:t>
      </w:r>
      <w:proofErr w:type="spellEnd"/>
      <w:r w:rsidRPr="74F2A41A">
        <w:rPr>
          <w:rFonts w:ascii="Lato" w:eastAsia="Lato" w:hAnsi="Lato" w:cs="Lato"/>
          <w:sz w:val="24"/>
          <w:szCs w:val="24"/>
          <w:lang w:val="en-CA"/>
        </w:rPr>
        <w:t xml:space="preserve"> 2003, Revised June 2006). </w:t>
      </w:r>
      <w:r w:rsidRPr="74F2A41A">
        <w:rPr>
          <w:rFonts w:ascii="Lato" w:eastAsia="Lato" w:hAnsi="Lato" w:cs="Lato"/>
          <w:color w:val="5C961D"/>
          <w:sz w:val="24"/>
          <w:szCs w:val="24"/>
          <w:u w:val="single"/>
          <w:lang w:val="en-CA"/>
        </w:rPr>
        <w:t>http://www.ontario.ca/document/technical‐support‐document‐ontario‐drinking‐water‐standards‐objectives‐and‐ guidelines</w:t>
      </w:r>
      <w:r w:rsidRPr="74F2A41A">
        <w:rPr>
          <w:rFonts w:ascii="Lato" w:eastAsia="Lato" w:hAnsi="Lato" w:cs="Lato"/>
          <w:color w:val="5C961D"/>
          <w:sz w:val="24"/>
          <w:szCs w:val="24"/>
          <w:lang w:val="en-CA"/>
        </w:rPr>
        <w:t xml:space="preserve">  </w:t>
      </w:r>
    </w:p>
    <w:p w14:paraId="41836D4B" w14:textId="62BF75AE" w:rsidR="43A0FB46" w:rsidRDefault="43A0FB46" w:rsidP="4CC94402">
      <w:pPr>
        <w:spacing w:line="360" w:lineRule="auto"/>
        <w:rPr>
          <w:rFonts w:ascii="Lato" w:eastAsia="Lato" w:hAnsi="Lato" w:cs="Lato"/>
          <w:sz w:val="24"/>
          <w:szCs w:val="24"/>
          <w:lang w:val="en-CA"/>
        </w:rPr>
      </w:pPr>
      <w:r>
        <w:rPr>
          <w:noProof/>
        </w:rPr>
        <mc:AlternateContent>
          <mc:Choice Requires="wps">
            <w:drawing>
              <wp:inline distT="0" distB="0" distL="0" distR="0" wp14:anchorId="1D346E79" wp14:editId="2392B159">
                <wp:extent cx="6088380" cy="34290"/>
                <wp:effectExtent l="0" t="0" r="26670" b="22860"/>
                <wp:docPr id="547113266"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25B8B009" w14:textId="08E93762" w:rsidR="6298B183" w:rsidRPr="00FA4B16" w:rsidRDefault="00FA4B16" w:rsidP="74164EAF">
      <w:pPr>
        <w:spacing w:line="360" w:lineRule="auto"/>
        <w:rPr>
          <w:rFonts w:ascii="Lato" w:eastAsia="Lato" w:hAnsi="Lato" w:cs="Lato"/>
          <w:b/>
          <w:bCs/>
          <w:sz w:val="26"/>
          <w:szCs w:val="26"/>
          <w:u w:val="single"/>
          <w:lang w:val="en-CA"/>
        </w:rPr>
      </w:pPr>
      <w:r w:rsidRPr="74164EAF">
        <w:rPr>
          <w:rFonts w:ascii="Lato" w:eastAsia="Lato" w:hAnsi="Lato" w:cs="Lato"/>
          <w:b/>
          <w:bCs/>
          <w:sz w:val="26"/>
          <w:szCs w:val="26"/>
          <w:u w:val="single"/>
          <w:lang w:val="en-CA"/>
        </w:rPr>
        <w:lastRenderedPageBreak/>
        <w:t>Section 4 -</w:t>
      </w:r>
      <w:r w:rsidR="6298B183" w:rsidRPr="74164EAF">
        <w:rPr>
          <w:rFonts w:ascii="Lato" w:eastAsia="Lato" w:hAnsi="Lato" w:cs="Lato"/>
          <w:b/>
          <w:bCs/>
          <w:sz w:val="26"/>
          <w:szCs w:val="26"/>
          <w:u w:val="single"/>
          <w:lang w:val="en-CA"/>
        </w:rPr>
        <w:t xml:space="preserve"> </w:t>
      </w:r>
      <w:r w:rsidR="03463EEB" w:rsidRPr="74164EAF">
        <w:rPr>
          <w:rFonts w:ascii="Lato" w:eastAsia="Lato" w:hAnsi="Lato" w:cs="Lato"/>
          <w:b/>
          <w:bCs/>
          <w:sz w:val="26"/>
          <w:szCs w:val="26"/>
          <w:u w:val="single"/>
          <w:lang w:val="en-CA"/>
        </w:rPr>
        <w:t>Consultant’s Checklist</w:t>
      </w:r>
    </w:p>
    <w:p w14:paraId="1D10FE8F" w14:textId="58975BEE" w:rsidR="1AD70051" w:rsidRDefault="1AD70051" w:rsidP="005B5A7C">
      <w:pPr>
        <w:spacing w:before="1" w:line="240" w:lineRule="auto"/>
        <w:ind w:right="4"/>
        <w:rPr>
          <w:rFonts w:ascii="Lato" w:eastAsia="Lato" w:hAnsi="Lato" w:cs="Lato"/>
          <w:sz w:val="24"/>
          <w:szCs w:val="24"/>
          <w:lang w:val="en-CA"/>
        </w:rPr>
      </w:pPr>
      <w:r w:rsidRPr="005B5A7C">
        <w:rPr>
          <w:rFonts w:ascii="Lato" w:eastAsia="Lato" w:hAnsi="Lato" w:cs="Lato"/>
          <w:color w:val="000000" w:themeColor="text1"/>
          <w:sz w:val="24"/>
          <w:szCs w:val="24"/>
        </w:rPr>
        <w:t xml:space="preserve">The following checklist is provided to assist qualified professionals in their scoping of a suitable hydrogeological investigation that would address the general reporting objectives given in the preceding overview. This checklist provides more explanation </w:t>
      </w:r>
      <w:r w:rsidRPr="4CC94402">
        <w:rPr>
          <w:rFonts w:ascii="Lato" w:eastAsia="Lato" w:hAnsi="Lato" w:cs="Lato"/>
          <w:sz w:val="24"/>
          <w:szCs w:val="24"/>
          <w:lang w:val="en-CA"/>
        </w:rPr>
        <w:t xml:space="preserve">than is available in the equivalent subdivision checklist </w:t>
      </w:r>
      <w:proofErr w:type="gramStart"/>
      <w:r w:rsidRPr="4CC94402">
        <w:rPr>
          <w:rFonts w:ascii="Lato" w:eastAsia="Lato" w:hAnsi="Lato" w:cs="Lato"/>
          <w:sz w:val="24"/>
          <w:szCs w:val="24"/>
          <w:lang w:val="en-CA"/>
        </w:rPr>
        <w:t>in order to</w:t>
      </w:r>
      <w:proofErr w:type="gramEnd"/>
      <w:r w:rsidRPr="4CC94402">
        <w:rPr>
          <w:rFonts w:ascii="Lato" w:eastAsia="Lato" w:hAnsi="Lato" w:cs="Lato"/>
          <w:sz w:val="24"/>
          <w:szCs w:val="24"/>
          <w:lang w:val="en-CA"/>
        </w:rPr>
        <w:t xml:space="preserve"> more clearly define the level of effort required for applications for development.</w:t>
      </w:r>
    </w:p>
    <w:p w14:paraId="78E8FECB" w14:textId="1E146CE0" w:rsidR="0728D3D3" w:rsidRPr="005B5A7C" w:rsidRDefault="0728D3D3" w:rsidP="005B5A7C">
      <w:pPr>
        <w:spacing w:before="1" w:line="240" w:lineRule="auto"/>
        <w:ind w:right="4"/>
        <w:rPr>
          <w:rFonts w:ascii="Lato" w:eastAsia="Lato" w:hAnsi="Lato" w:cs="Lato"/>
          <w:color w:val="000000" w:themeColor="text1"/>
          <w:sz w:val="24"/>
          <w:szCs w:val="24"/>
        </w:rPr>
      </w:pPr>
      <w:r w:rsidRPr="005B5A7C">
        <w:rPr>
          <w:rFonts w:ascii="Lato" w:eastAsia="Lato" w:hAnsi="Lato" w:cs="Lato"/>
          <w:color w:val="000000" w:themeColor="text1"/>
          <w:sz w:val="24"/>
          <w:szCs w:val="24"/>
        </w:rPr>
        <w:t>Technical pre‐consultation to refine the scope of study was undertaken with the Municipality’s Consultant.</w:t>
      </w:r>
    </w:p>
    <w:p w14:paraId="489B1831" w14:textId="207264F3" w:rsidR="61CB93FE" w:rsidRDefault="61CB93FE" w:rsidP="4CC94402">
      <w:pPr>
        <w:spacing w:line="360" w:lineRule="auto"/>
        <w:rPr>
          <w:rFonts w:ascii="Lato" w:eastAsia="Lato" w:hAnsi="Lato" w:cs="Lato"/>
          <w:sz w:val="24"/>
          <w:szCs w:val="24"/>
          <w:lang w:val="en-CA"/>
        </w:rPr>
      </w:pPr>
      <w:r>
        <w:rPr>
          <w:noProof/>
        </w:rPr>
        <mc:AlternateContent>
          <mc:Choice Requires="wps">
            <w:drawing>
              <wp:inline distT="0" distB="0" distL="0" distR="0" wp14:anchorId="3D8A2DFB" wp14:editId="25EFBF85">
                <wp:extent cx="6088380" cy="34290"/>
                <wp:effectExtent l="0" t="0" r="26670" b="22860"/>
                <wp:docPr id="1713915740"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2931F087" w14:textId="50EAA94E" w:rsidR="1AD70051" w:rsidRDefault="1AD70051" w:rsidP="4CC94402">
      <w:pPr>
        <w:spacing w:line="360" w:lineRule="auto"/>
        <w:rPr>
          <w:rFonts w:ascii="Lato" w:eastAsia="Lato" w:hAnsi="Lato" w:cs="Lato"/>
          <w:b/>
          <w:bCs/>
          <w:sz w:val="26"/>
          <w:szCs w:val="26"/>
          <w:lang w:val="en-CA"/>
        </w:rPr>
      </w:pPr>
      <w:r w:rsidRPr="4CC94402">
        <w:rPr>
          <w:rFonts w:ascii="Lato" w:eastAsia="Lato" w:hAnsi="Lato" w:cs="Lato"/>
          <w:b/>
          <w:bCs/>
          <w:sz w:val="26"/>
          <w:szCs w:val="26"/>
          <w:lang w:val="en-CA"/>
        </w:rPr>
        <w:t>Groundwater Supply Assessment (Procedure D‐5‐5)</w:t>
      </w:r>
    </w:p>
    <w:p w14:paraId="057EAE9B" w14:textId="7CD87CE6" w:rsidR="1AD70051" w:rsidRDefault="1AD70051" w:rsidP="74F2A41A">
      <w:pPr>
        <w:spacing w:line="360" w:lineRule="auto"/>
        <w:rPr>
          <w:rFonts w:ascii="Lato" w:eastAsia="Lato" w:hAnsi="Lato" w:cs="Lato"/>
          <w:b/>
          <w:bCs/>
          <w:color w:val="2F5496" w:themeColor="accent1" w:themeShade="BF"/>
          <w:sz w:val="26"/>
          <w:szCs w:val="26"/>
          <w:lang w:val="en-CA"/>
        </w:rPr>
      </w:pPr>
      <w:r w:rsidRPr="74F2A41A">
        <w:rPr>
          <w:rFonts w:ascii="Lato" w:eastAsia="Lato" w:hAnsi="Lato" w:cs="Lato"/>
          <w:b/>
          <w:bCs/>
          <w:color w:val="2F5496" w:themeColor="accent1" w:themeShade="BF"/>
          <w:sz w:val="26"/>
          <w:szCs w:val="26"/>
          <w:lang w:val="en-CA"/>
        </w:rPr>
        <w:t>Groundwater Quantity Assessment</w:t>
      </w:r>
    </w:p>
    <w:p w14:paraId="3EBA4F4A" w14:textId="6179DBE7" w:rsidR="1AD70051" w:rsidRPr="00D808D9" w:rsidRDefault="1AD70051" w:rsidP="00D808D9">
      <w:pPr>
        <w:pStyle w:val="ListParagraph"/>
        <w:numPr>
          <w:ilvl w:val="0"/>
          <w:numId w:val="5"/>
        </w:numPr>
        <w:spacing w:before="1" w:line="240" w:lineRule="auto"/>
        <w:ind w:left="714" w:right="6" w:hanging="357"/>
        <w:contextualSpacing w:val="0"/>
        <w:rPr>
          <w:rFonts w:ascii="Lato" w:eastAsia="Lato" w:hAnsi="Lato" w:cs="Lato"/>
          <w:color w:val="000000" w:themeColor="text1"/>
          <w:sz w:val="24"/>
          <w:szCs w:val="24"/>
        </w:rPr>
      </w:pPr>
      <w:r w:rsidRPr="74F2A41A">
        <w:rPr>
          <w:rFonts w:ascii="Lato" w:eastAsia="Lato" w:hAnsi="Lato" w:cs="Lato"/>
          <w:color w:val="000000" w:themeColor="text1"/>
          <w:sz w:val="24"/>
          <w:szCs w:val="24"/>
        </w:rPr>
        <w:t xml:space="preserve">Water well records for the area around the site are provided and mapped in the report. </w:t>
      </w:r>
      <w:proofErr w:type="spellStart"/>
      <w:r w:rsidRPr="74F2A41A">
        <w:rPr>
          <w:rFonts w:ascii="Lato" w:eastAsia="Lato" w:hAnsi="Lato" w:cs="Lato"/>
          <w:color w:val="000000" w:themeColor="text1"/>
          <w:sz w:val="24"/>
          <w:szCs w:val="24"/>
        </w:rPr>
        <w:t>MOECC’s</w:t>
      </w:r>
      <w:proofErr w:type="spellEnd"/>
      <w:r w:rsidRPr="74F2A41A">
        <w:rPr>
          <w:rFonts w:ascii="Lato" w:eastAsia="Lato" w:hAnsi="Lato" w:cs="Lato"/>
          <w:color w:val="000000" w:themeColor="text1"/>
          <w:sz w:val="24"/>
          <w:szCs w:val="24"/>
        </w:rPr>
        <w:t xml:space="preserve"> interactive mapping and well record downloads available here: </w:t>
      </w:r>
      <w:r w:rsidRPr="74F2A41A">
        <w:rPr>
          <w:rFonts w:ascii="Lato" w:eastAsia="Lato" w:hAnsi="Lato" w:cs="Lato"/>
          <w:color w:val="5C961D"/>
          <w:sz w:val="24"/>
          <w:szCs w:val="24"/>
          <w:u w:val="single"/>
        </w:rPr>
        <w:t>http://www.ontario.ca/environment‐ and‐energy/map‐well‐records; http://www.ontario.ca/data/water‐wells</w:t>
      </w:r>
      <w:r w:rsidRPr="74F2A41A">
        <w:rPr>
          <w:rFonts w:ascii="Lato" w:eastAsia="Lato" w:hAnsi="Lato" w:cs="Lato"/>
          <w:color w:val="5C961D"/>
          <w:sz w:val="24"/>
          <w:szCs w:val="24"/>
        </w:rPr>
        <w:t xml:space="preserve">  </w:t>
      </w:r>
    </w:p>
    <w:p w14:paraId="0A455634" w14:textId="780DD63D" w:rsidR="1AD70051" w:rsidRPr="005B5A7C" w:rsidRDefault="1AD70051" w:rsidP="00D808D9">
      <w:pPr>
        <w:pStyle w:val="ListParagraph"/>
        <w:numPr>
          <w:ilvl w:val="0"/>
          <w:numId w:val="5"/>
        </w:numPr>
        <w:spacing w:before="1" w:line="240" w:lineRule="auto"/>
        <w:ind w:left="714" w:right="6" w:hanging="357"/>
        <w:contextualSpacing w:val="0"/>
        <w:rPr>
          <w:rFonts w:ascii="Lato" w:eastAsia="Lato" w:hAnsi="Lato" w:cs="Lato"/>
          <w:color w:val="000000" w:themeColor="text1"/>
          <w:sz w:val="24"/>
          <w:szCs w:val="24"/>
        </w:rPr>
      </w:pPr>
      <w:r w:rsidRPr="74F2A41A">
        <w:rPr>
          <w:rFonts w:ascii="Lato" w:eastAsia="Lato" w:hAnsi="Lato" w:cs="Lato"/>
          <w:color w:val="000000" w:themeColor="text1"/>
          <w:sz w:val="24"/>
          <w:szCs w:val="24"/>
        </w:rPr>
        <w:t xml:space="preserve">The report contains a simple discussion of regional and site hydrogeology (incl. aquifer characteristics, groundwater flow regime etc.) and provides all related mapping if conditions vary within 500 m of the site. The groundwater flow regime is explained, at the regional scale, in Mississippi‐Rideau Source Protection documents, which are available here: </w:t>
      </w:r>
      <w:r w:rsidRPr="74F2A41A">
        <w:rPr>
          <w:rFonts w:ascii="Lato" w:eastAsia="Lato" w:hAnsi="Lato" w:cs="Lato"/>
          <w:color w:val="5C961D"/>
          <w:sz w:val="24"/>
          <w:szCs w:val="24"/>
          <w:u w:val="single"/>
        </w:rPr>
        <w:t>http://www.mrsourcewater.ca/en/library/reports</w:t>
      </w:r>
      <w:r w:rsidRPr="74F2A41A">
        <w:rPr>
          <w:rFonts w:ascii="Lato" w:eastAsia="Lato" w:hAnsi="Lato" w:cs="Lato"/>
          <w:color w:val="5C961D"/>
          <w:sz w:val="24"/>
          <w:szCs w:val="24"/>
        </w:rPr>
        <w:t>.</w:t>
      </w:r>
      <w:r w:rsidRPr="74F2A41A">
        <w:rPr>
          <w:rFonts w:ascii="Lato" w:eastAsia="Lato" w:hAnsi="Lato" w:cs="Lato"/>
          <w:color w:val="000000" w:themeColor="text1"/>
          <w:sz w:val="24"/>
          <w:szCs w:val="24"/>
        </w:rPr>
        <w:t xml:space="preserve"> Information about groundwater flow could potentially also be interpreted from information in the </w:t>
      </w:r>
      <w:proofErr w:type="spellStart"/>
      <w:r w:rsidRPr="74F2A41A">
        <w:rPr>
          <w:rFonts w:ascii="Lato" w:eastAsia="Lato" w:hAnsi="Lato" w:cs="Lato"/>
          <w:color w:val="000000" w:themeColor="text1"/>
          <w:sz w:val="24"/>
          <w:szCs w:val="24"/>
        </w:rPr>
        <w:t>MOECC’s</w:t>
      </w:r>
      <w:proofErr w:type="spellEnd"/>
      <w:r w:rsidRPr="74F2A41A">
        <w:rPr>
          <w:rFonts w:ascii="Lato" w:eastAsia="Lato" w:hAnsi="Lato" w:cs="Lato"/>
          <w:color w:val="000000" w:themeColor="text1"/>
          <w:sz w:val="24"/>
          <w:szCs w:val="24"/>
        </w:rPr>
        <w:t xml:space="preserve"> water well records.    </w:t>
      </w:r>
    </w:p>
    <w:p w14:paraId="7B849742" w14:textId="4E4C4F68" w:rsidR="1AD70051" w:rsidRDefault="1AD70051" w:rsidP="00D808D9">
      <w:pPr>
        <w:pStyle w:val="ListParagraph"/>
        <w:numPr>
          <w:ilvl w:val="0"/>
          <w:numId w:val="5"/>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t xml:space="preserve">Information about well construction and well / aquifer yield (including recovery) from all available technically appropriate (representative) domestic wells up to one kilometer and at least 500 m from the site is evaluated in the report. At least one of the wells (test well) used in this evaluation is shown to represent site specific conditions, exhibit future well construction specifications and meet Ontario Regulation 903 requirements.  This well is preferably located on‐site. However, a nearby accessible well of known and representative construction may be located on an adjacent property and shown to be suitable for this assessment.  Specific capacity is considered the most appropriate well yield parameter to evaluate in this analysis.   </w:t>
      </w:r>
    </w:p>
    <w:p w14:paraId="593BD53D" w14:textId="2347052B" w:rsidR="1AD70051" w:rsidRDefault="1AD70051" w:rsidP="00D808D9">
      <w:pPr>
        <w:pStyle w:val="ListParagraph"/>
        <w:numPr>
          <w:ilvl w:val="0"/>
          <w:numId w:val="5"/>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t xml:space="preserve">The </w:t>
      </w:r>
      <w:r w:rsidRPr="74164EAF">
        <w:rPr>
          <w:rFonts w:ascii="Lato" w:eastAsia="Lato" w:hAnsi="Lato" w:cs="Lato"/>
          <w:color w:val="000000" w:themeColor="text1"/>
          <w:sz w:val="24"/>
          <w:szCs w:val="24"/>
        </w:rPr>
        <w:t>report</w:t>
      </w:r>
      <w:r w:rsidRPr="74164EAF">
        <w:rPr>
          <w:rFonts w:ascii="Lato" w:eastAsia="Lato" w:hAnsi="Lato" w:cs="Lato"/>
          <w:sz w:val="24"/>
          <w:szCs w:val="24"/>
          <w:lang w:val="en-CA"/>
        </w:rPr>
        <w:t xml:space="preserve"> demonstrates that future water wells can be pumped at or above the minimum test rate specified in the provincial guidelines. Where local well yields </w:t>
      </w:r>
      <w:r w:rsidRPr="74164EAF">
        <w:rPr>
          <w:rFonts w:ascii="Lato" w:eastAsia="Lato" w:hAnsi="Lato" w:cs="Lato"/>
          <w:sz w:val="24"/>
          <w:szCs w:val="24"/>
          <w:lang w:val="en-CA"/>
        </w:rPr>
        <w:lastRenderedPageBreak/>
        <w:t xml:space="preserve">are found to be poorer as per the above analysis, a full pumping and recovery test and interference analysis may be required from an on‐site or representative off‐site well. Further consultation is highly recommended. </w:t>
      </w:r>
    </w:p>
    <w:p w14:paraId="01F3DF84" w14:textId="634EA56E" w:rsidR="1AD70051" w:rsidRDefault="1AD70051" w:rsidP="00D808D9">
      <w:pPr>
        <w:pStyle w:val="ListParagraph"/>
        <w:numPr>
          <w:ilvl w:val="0"/>
          <w:numId w:val="5"/>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t xml:space="preserve">The report </w:t>
      </w:r>
      <w:r w:rsidRPr="74164EAF">
        <w:rPr>
          <w:rFonts w:ascii="Lato" w:eastAsia="Lato" w:hAnsi="Lato" w:cs="Lato"/>
          <w:color w:val="000000" w:themeColor="text1"/>
          <w:sz w:val="24"/>
          <w:szCs w:val="24"/>
        </w:rPr>
        <w:t>demonstrates</w:t>
      </w:r>
      <w:r w:rsidRPr="74164EAF">
        <w:rPr>
          <w:rFonts w:ascii="Lato" w:eastAsia="Lato" w:hAnsi="Lato" w:cs="Lato"/>
          <w:sz w:val="24"/>
          <w:szCs w:val="24"/>
          <w:lang w:val="en-CA"/>
        </w:rPr>
        <w:t xml:space="preserve"> that the test well fully recovers during a 24‐hour pumping cycle.</w:t>
      </w:r>
    </w:p>
    <w:p w14:paraId="76AE7A16" w14:textId="329B78A4" w:rsidR="1AD70051" w:rsidRDefault="1AD70051" w:rsidP="74164EAF">
      <w:pPr>
        <w:pStyle w:val="ListParagraph"/>
        <w:numPr>
          <w:ilvl w:val="0"/>
          <w:numId w:val="5"/>
        </w:numPr>
        <w:spacing w:before="1" w:line="240" w:lineRule="auto"/>
        <w:ind w:right="4"/>
        <w:rPr>
          <w:rFonts w:ascii="Lato" w:eastAsia="Lato" w:hAnsi="Lato" w:cs="Lato"/>
          <w:sz w:val="24"/>
          <w:szCs w:val="24"/>
          <w:lang w:val="en-CA"/>
        </w:rPr>
      </w:pPr>
      <w:r w:rsidRPr="74164EAF">
        <w:rPr>
          <w:rFonts w:ascii="Lato" w:eastAsia="Lato" w:hAnsi="Lato" w:cs="Lato"/>
          <w:color w:val="000000" w:themeColor="text1"/>
          <w:sz w:val="24"/>
          <w:szCs w:val="24"/>
        </w:rPr>
        <w:t>Information</w:t>
      </w:r>
      <w:r w:rsidRPr="74164EAF">
        <w:rPr>
          <w:rFonts w:ascii="Lato" w:eastAsia="Lato" w:hAnsi="Lato" w:cs="Lato"/>
          <w:sz w:val="24"/>
          <w:szCs w:val="24"/>
          <w:lang w:val="en-CA"/>
        </w:rPr>
        <w:t xml:space="preserve"> from the owners of representative private wells in the vicinity of the site about their experience with well yield vs demand, groundwater levels, well replacement/repair etc. are evaluated in the report. The report describes and evaluates those land uses that could affect well yield within a minimum of 500 m from the </w:t>
      </w:r>
      <w:proofErr w:type="gramStart"/>
      <w:r w:rsidRPr="74164EAF">
        <w:rPr>
          <w:rFonts w:ascii="Lato" w:eastAsia="Lato" w:hAnsi="Lato" w:cs="Lato"/>
          <w:sz w:val="24"/>
          <w:szCs w:val="24"/>
          <w:lang w:val="en-CA"/>
        </w:rPr>
        <w:t>site;</w:t>
      </w:r>
      <w:proofErr w:type="gramEnd"/>
      <w:r w:rsidRPr="74164EAF">
        <w:rPr>
          <w:rFonts w:ascii="Lato" w:eastAsia="Lato" w:hAnsi="Lato" w:cs="Lato"/>
          <w:sz w:val="24"/>
          <w:szCs w:val="24"/>
          <w:lang w:val="en-CA"/>
        </w:rPr>
        <w:t xml:space="preserve"> and accounts for this in the groundwater quantity assessment.</w:t>
      </w:r>
    </w:p>
    <w:p w14:paraId="212A162E" w14:textId="7A12C024" w:rsidR="1F46046D" w:rsidRDefault="1F46046D" w:rsidP="4CC94402">
      <w:pPr>
        <w:spacing w:line="360" w:lineRule="auto"/>
        <w:rPr>
          <w:rFonts w:ascii="Lato" w:eastAsia="Lato" w:hAnsi="Lato" w:cs="Lato"/>
          <w:sz w:val="24"/>
          <w:szCs w:val="24"/>
          <w:lang w:val="en-CA"/>
        </w:rPr>
      </w:pPr>
      <w:r>
        <w:rPr>
          <w:noProof/>
        </w:rPr>
        <mc:AlternateContent>
          <mc:Choice Requires="wps">
            <w:drawing>
              <wp:inline distT="0" distB="0" distL="0" distR="0" wp14:anchorId="06754FAA" wp14:editId="64FADF7D">
                <wp:extent cx="6088380" cy="34290"/>
                <wp:effectExtent l="0" t="0" r="26670" b="22860"/>
                <wp:docPr id="1369773037"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75E2D02E" w14:textId="66FD75C1" w:rsidR="232FF5D1" w:rsidRDefault="232FF5D1" w:rsidP="74F2A41A">
      <w:pPr>
        <w:spacing w:line="360" w:lineRule="auto"/>
        <w:rPr>
          <w:rFonts w:ascii="Lato" w:eastAsia="Lato" w:hAnsi="Lato" w:cs="Lato"/>
          <w:b/>
          <w:bCs/>
          <w:color w:val="2F5496" w:themeColor="accent1" w:themeShade="BF"/>
          <w:sz w:val="26"/>
          <w:szCs w:val="26"/>
          <w:lang w:val="en-CA"/>
        </w:rPr>
      </w:pPr>
      <w:r w:rsidRPr="74F2A41A">
        <w:rPr>
          <w:rFonts w:ascii="Lato" w:eastAsia="Lato" w:hAnsi="Lato" w:cs="Lato"/>
          <w:b/>
          <w:bCs/>
          <w:color w:val="2F5496" w:themeColor="accent1" w:themeShade="BF"/>
          <w:sz w:val="26"/>
          <w:szCs w:val="26"/>
          <w:lang w:val="en-CA"/>
        </w:rPr>
        <w:t>Groundwater Quality Assessment</w:t>
      </w:r>
    </w:p>
    <w:p w14:paraId="13D9D05E" w14:textId="266852F9" w:rsidR="232FF5D1" w:rsidRDefault="232FF5D1" w:rsidP="00D808D9">
      <w:pPr>
        <w:pStyle w:val="ListParagraph"/>
        <w:numPr>
          <w:ilvl w:val="0"/>
          <w:numId w:val="4"/>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t xml:space="preserve">Field data is provided for raw groundwater samples from the test well. At minimum, field parameter </w:t>
      </w:r>
      <w:r w:rsidRPr="74164EAF">
        <w:rPr>
          <w:rFonts w:ascii="Lato" w:eastAsia="Lato" w:hAnsi="Lato" w:cs="Lato"/>
          <w:color w:val="000000" w:themeColor="text1"/>
          <w:sz w:val="24"/>
          <w:szCs w:val="24"/>
        </w:rPr>
        <w:t>measurements</w:t>
      </w:r>
      <w:r w:rsidRPr="74164EAF">
        <w:rPr>
          <w:rFonts w:ascii="Lato" w:eastAsia="Lato" w:hAnsi="Lato" w:cs="Lato"/>
          <w:sz w:val="24"/>
          <w:szCs w:val="24"/>
          <w:lang w:val="en-CA"/>
        </w:rPr>
        <w:t xml:space="preserve"> are to </w:t>
      </w:r>
      <w:proofErr w:type="gramStart"/>
      <w:r w:rsidRPr="74164EAF">
        <w:rPr>
          <w:rFonts w:ascii="Lato" w:eastAsia="Lato" w:hAnsi="Lato" w:cs="Lato"/>
          <w:sz w:val="24"/>
          <w:szCs w:val="24"/>
          <w:lang w:val="en-CA"/>
        </w:rPr>
        <w:t>include:</w:t>
      </w:r>
      <w:proofErr w:type="gramEnd"/>
      <w:r w:rsidRPr="74164EAF">
        <w:rPr>
          <w:rFonts w:ascii="Lato" w:eastAsia="Lato" w:hAnsi="Lato" w:cs="Lato"/>
          <w:sz w:val="24"/>
          <w:szCs w:val="24"/>
          <w:lang w:val="en-CA"/>
        </w:rPr>
        <w:t xml:space="preserve"> residual chlorine, pH, temperature, conductivity, dissolved oxygen, turbidity, colour, alkalinity and a hydrogen sulphide odour test. Where detected, hydrogen sulphide is also measured in the field. Methodologies for the measurement of field parameters are described in the report in reference to specific industry standards including field equipment make / model and calibration outcomes.</w:t>
      </w:r>
    </w:p>
    <w:p w14:paraId="1495DC52" w14:textId="41DC5FFC" w:rsidR="232FF5D1" w:rsidRDefault="232FF5D1" w:rsidP="00D808D9">
      <w:pPr>
        <w:pStyle w:val="ListParagraph"/>
        <w:numPr>
          <w:ilvl w:val="0"/>
          <w:numId w:val="4"/>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t xml:space="preserve">Original </w:t>
      </w:r>
      <w:r w:rsidRPr="74164EAF">
        <w:rPr>
          <w:rFonts w:ascii="Lato" w:eastAsia="Lato" w:hAnsi="Lato" w:cs="Lato"/>
          <w:color w:val="000000" w:themeColor="text1"/>
          <w:sz w:val="24"/>
          <w:szCs w:val="24"/>
        </w:rPr>
        <w:t>laboratory</w:t>
      </w:r>
      <w:r w:rsidRPr="74164EAF">
        <w:rPr>
          <w:rFonts w:ascii="Lato" w:eastAsia="Lato" w:hAnsi="Lato" w:cs="Lato"/>
          <w:sz w:val="24"/>
          <w:szCs w:val="24"/>
          <w:lang w:val="en-CA"/>
        </w:rPr>
        <w:t xml:space="preserve"> reports are provided for raw groundwater samples from the test well. Lab analyses / calculations are provided for the common ‘subdivision suite’ of parameters including those listed in Table 1 of Procedure D‐5‐5; and fluoride, phenols, tannin &amp; lignin, total </w:t>
      </w:r>
      <w:proofErr w:type="spellStart"/>
      <w:r w:rsidRPr="74164EAF">
        <w:rPr>
          <w:rFonts w:ascii="Lato" w:eastAsia="Lato" w:hAnsi="Lato" w:cs="Lato"/>
          <w:sz w:val="24"/>
          <w:szCs w:val="24"/>
          <w:lang w:val="en-CA"/>
        </w:rPr>
        <w:t>kjeldahl</w:t>
      </w:r>
      <w:proofErr w:type="spellEnd"/>
      <w:r w:rsidRPr="74164EAF">
        <w:rPr>
          <w:rFonts w:ascii="Lato" w:eastAsia="Lato" w:hAnsi="Lato" w:cs="Lato"/>
          <w:sz w:val="24"/>
          <w:szCs w:val="24"/>
          <w:lang w:val="en-CA"/>
        </w:rPr>
        <w:t xml:space="preserve"> nitrogen (</w:t>
      </w:r>
      <w:proofErr w:type="spellStart"/>
      <w:r w:rsidRPr="74164EAF">
        <w:rPr>
          <w:rFonts w:ascii="Lato" w:eastAsia="Lato" w:hAnsi="Lato" w:cs="Lato"/>
          <w:sz w:val="24"/>
          <w:szCs w:val="24"/>
          <w:lang w:val="en-CA"/>
        </w:rPr>
        <w:t>TKN</w:t>
      </w:r>
      <w:proofErr w:type="spellEnd"/>
      <w:r w:rsidRPr="74164EAF">
        <w:rPr>
          <w:rFonts w:ascii="Lato" w:eastAsia="Lato" w:hAnsi="Lato" w:cs="Lato"/>
          <w:sz w:val="24"/>
          <w:szCs w:val="24"/>
          <w:lang w:val="en-CA"/>
        </w:rPr>
        <w:t>), organic nitrogen, phosphate and all naturally occurring dissolved heavy metals with provincial standards, objectives or guidelines (</w:t>
      </w:r>
      <w:proofErr w:type="gramStart"/>
      <w:r w:rsidRPr="74164EAF">
        <w:rPr>
          <w:rFonts w:ascii="Lato" w:eastAsia="Lato" w:hAnsi="Lato" w:cs="Lato"/>
          <w:sz w:val="24"/>
          <w:szCs w:val="24"/>
          <w:lang w:val="en-CA"/>
        </w:rPr>
        <w:t>i.e.</w:t>
      </w:r>
      <w:proofErr w:type="gramEnd"/>
      <w:r w:rsidRPr="74164EAF">
        <w:rPr>
          <w:rFonts w:ascii="Lato" w:eastAsia="Lato" w:hAnsi="Lato" w:cs="Lato"/>
          <w:sz w:val="24"/>
          <w:szCs w:val="24"/>
          <w:lang w:val="en-CA"/>
        </w:rPr>
        <w:t xml:space="preserve"> Aluminum, Antimony, Arsenic, Barium, Boron, Cadmium, Chromium, Copper, Lead, Mercury, Selenium, Uranium and Zinc).  </w:t>
      </w:r>
    </w:p>
    <w:p w14:paraId="771DF132" w14:textId="77689318" w:rsidR="61D4DB02" w:rsidRDefault="61D4DB02" w:rsidP="00D808D9">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Methodologies for the collection and preservation of samples are described in the report in reference to specific industry standards including bottle types, filtration, preservation / treatment, holding times and temperature. Where TDS values are high, the report includes written rationale, with supporting analyses, that corrosion, </w:t>
      </w:r>
      <w:proofErr w:type="gramStart"/>
      <w:r w:rsidRPr="74164EAF">
        <w:rPr>
          <w:rFonts w:ascii="Lato" w:eastAsia="Lato" w:hAnsi="Lato" w:cs="Lato"/>
          <w:sz w:val="24"/>
          <w:szCs w:val="24"/>
          <w:lang w:val="en-CA"/>
        </w:rPr>
        <w:t>encrustation</w:t>
      </w:r>
      <w:proofErr w:type="gramEnd"/>
      <w:r w:rsidRPr="74164EAF">
        <w:rPr>
          <w:rFonts w:ascii="Lato" w:eastAsia="Lato" w:hAnsi="Lato" w:cs="Lato"/>
          <w:sz w:val="24"/>
          <w:szCs w:val="24"/>
          <w:lang w:val="en-CA"/>
        </w:rPr>
        <w:t xml:space="preserve"> or taste problems will not occur.   </w:t>
      </w:r>
    </w:p>
    <w:p w14:paraId="57CCFF58" w14:textId="7040B471" w:rsidR="61D4DB02" w:rsidRDefault="61D4DB02" w:rsidP="00D808D9">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Field data and professional opinion indicates that chlorine residuals were zero at the time of sampling; and that raw water turbidity is acceptable. The report explains how raw </w:t>
      </w:r>
      <w:r w:rsidRPr="74164EAF">
        <w:rPr>
          <w:rFonts w:ascii="Lato" w:eastAsia="Lato" w:hAnsi="Lato" w:cs="Lato"/>
          <w:color w:val="000000" w:themeColor="text1"/>
          <w:sz w:val="24"/>
          <w:szCs w:val="24"/>
        </w:rPr>
        <w:t>groundwater</w:t>
      </w:r>
      <w:r w:rsidRPr="74164EAF">
        <w:rPr>
          <w:rFonts w:ascii="Lato" w:eastAsia="Lato" w:hAnsi="Lato" w:cs="Lato"/>
          <w:sz w:val="24"/>
          <w:szCs w:val="24"/>
          <w:lang w:val="en-CA"/>
        </w:rPr>
        <w:t xml:space="preserve"> quality meets the Ontario Drinking Water Standards, Objectives and Guidelines (</w:t>
      </w:r>
      <w:proofErr w:type="spellStart"/>
      <w:r w:rsidRPr="74164EAF">
        <w:rPr>
          <w:rFonts w:ascii="Lato" w:eastAsia="Lato" w:hAnsi="Lato" w:cs="Lato"/>
          <w:sz w:val="24"/>
          <w:szCs w:val="24"/>
          <w:lang w:val="en-CA"/>
        </w:rPr>
        <w:t>ODWSOG</w:t>
      </w:r>
      <w:proofErr w:type="spellEnd"/>
      <w:r w:rsidRPr="74164EAF">
        <w:rPr>
          <w:rFonts w:ascii="Lato" w:eastAsia="Lato" w:hAnsi="Lato" w:cs="Lato"/>
          <w:sz w:val="24"/>
          <w:szCs w:val="24"/>
          <w:lang w:val="en-CA"/>
        </w:rPr>
        <w:t xml:space="preserve">) and/or is within the provincial treatability limits for aesthetic/operational parameters.   </w:t>
      </w:r>
    </w:p>
    <w:p w14:paraId="4E7F7D14" w14:textId="15EF26C1" w:rsidR="61D4DB02" w:rsidRDefault="61D4DB02" w:rsidP="00D808D9">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lastRenderedPageBreak/>
        <w:t xml:space="preserve">Where raw water quality parameters exceed the Ontario Drinking Water Objectives and Guidelines but are within the D‐5‐5 reasonable treatment limits, water treatment </w:t>
      </w:r>
      <w:r w:rsidRPr="74164EAF">
        <w:rPr>
          <w:rFonts w:ascii="Lato" w:eastAsia="Lato" w:hAnsi="Lato" w:cs="Lato"/>
          <w:color w:val="000000" w:themeColor="text1"/>
          <w:sz w:val="24"/>
          <w:szCs w:val="24"/>
        </w:rPr>
        <w:t>recommendations</w:t>
      </w:r>
      <w:r w:rsidRPr="74164EAF">
        <w:rPr>
          <w:rFonts w:ascii="Lato" w:eastAsia="Lato" w:hAnsi="Lato" w:cs="Lato"/>
          <w:sz w:val="24"/>
          <w:szCs w:val="24"/>
          <w:lang w:val="en-CA"/>
        </w:rPr>
        <w:t xml:space="preserve"> are discussed.</w:t>
      </w:r>
    </w:p>
    <w:p w14:paraId="7886BF1B" w14:textId="3937080E" w:rsidR="61D4DB02" w:rsidRDefault="61D4DB02" w:rsidP="00D808D9">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Where raw water quality parameters exceed the Ontario Drinking Water Objectives and Guidelines and </w:t>
      </w:r>
      <w:r w:rsidRPr="74164EAF">
        <w:rPr>
          <w:rFonts w:ascii="Lato" w:eastAsia="Lato" w:hAnsi="Lato" w:cs="Lato"/>
          <w:color w:val="000000" w:themeColor="text1"/>
          <w:sz w:val="24"/>
          <w:szCs w:val="24"/>
        </w:rPr>
        <w:t>the</w:t>
      </w:r>
      <w:r w:rsidRPr="74164EAF">
        <w:rPr>
          <w:rFonts w:ascii="Lato" w:eastAsia="Lato" w:hAnsi="Lato" w:cs="Lato"/>
          <w:sz w:val="24"/>
          <w:szCs w:val="24"/>
          <w:lang w:val="en-CA"/>
        </w:rPr>
        <w:t xml:space="preserve"> D‐5‐ 5 reasonable treatment limits, water treatment recommendations are discussed; and a favorable feasibility assessment is provided to explain the financial and maintenance efforts that would be required by future home owners if development proceeds via treatment.  </w:t>
      </w:r>
    </w:p>
    <w:p w14:paraId="01AADBFD" w14:textId="389109C6" w:rsidR="61D4DB02" w:rsidRDefault="61D4DB02" w:rsidP="00F02DD3">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Where any </w:t>
      </w:r>
      <w:r w:rsidR="005B5A7C" w:rsidRPr="74164EAF">
        <w:rPr>
          <w:rFonts w:ascii="Lato" w:eastAsia="Lato" w:hAnsi="Lato" w:cs="Lato"/>
          <w:sz w:val="24"/>
          <w:szCs w:val="24"/>
          <w:lang w:val="en-CA"/>
        </w:rPr>
        <w:t>health-related</w:t>
      </w:r>
      <w:r w:rsidRPr="74164EAF">
        <w:rPr>
          <w:rFonts w:ascii="Lato" w:eastAsia="Lato" w:hAnsi="Lato" w:cs="Lato"/>
          <w:sz w:val="24"/>
          <w:szCs w:val="24"/>
          <w:lang w:val="en-CA"/>
        </w:rPr>
        <w:t xml:space="preserve"> parameters are found to exceed the Ontario Drinking Water Standards, development would not proceed based on test well construction specifications. *</w:t>
      </w:r>
      <w:r>
        <w:tab/>
      </w:r>
    </w:p>
    <w:p w14:paraId="402971C2" w14:textId="11A16A33" w:rsidR="61D4DB02" w:rsidRDefault="61D4DB02" w:rsidP="00F02DD3">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Other well construction specifications and /or re‐sampling efforts could be explored. </w:t>
      </w:r>
      <w:r w:rsidR="4BB01D46" w:rsidRPr="74164EAF">
        <w:rPr>
          <w:rFonts w:ascii="Lato" w:eastAsia="Lato" w:hAnsi="Lato" w:cs="Lato"/>
          <w:sz w:val="24"/>
          <w:szCs w:val="24"/>
          <w:lang w:val="en-CA"/>
        </w:rPr>
        <w:t xml:space="preserve">For all </w:t>
      </w:r>
      <w:r w:rsidR="4BB01D46" w:rsidRPr="74164EAF">
        <w:rPr>
          <w:rFonts w:ascii="Lato" w:eastAsia="Lato" w:hAnsi="Lato" w:cs="Lato"/>
          <w:color w:val="000000" w:themeColor="text1"/>
          <w:sz w:val="24"/>
          <w:szCs w:val="24"/>
        </w:rPr>
        <w:t>exceedances</w:t>
      </w:r>
      <w:r w:rsidR="4BB01D46" w:rsidRPr="74164EAF">
        <w:rPr>
          <w:rFonts w:ascii="Lato" w:eastAsia="Lato" w:hAnsi="Lato" w:cs="Lato"/>
          <w:sz w:val="24"/>
          <w:szCs w:val="24"/>
          <w:lang w:val="en-CA"/>
        </w:rPr>
        <w:t xml:space="preserve">, consultation with the consultant and the Municipality is required. </w:t>
      </w:r>
    </w:p>
    <w:p w14:paraId="4362D7F3" w14:textId="77D64788" w:rsidR="61D4DB02" w:rsidRDefault="61D4DB02" w:rsidP="00F02DD3">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Information from the owners of representative domestic wells in the vicinity of the site about their </w:t>
      </w:r>
      <w:r w:rsidRPr="74164EAF">
        <w:rPr>
          <w:rFonts w:ascii="Lato" w:eastAsia="Lato" w:hAnsi="Lato" w:cs="Lato"/>
          <w:color w:val="000000" w:themeColor="text1"/>
          <w:sz w:val="24"/>
          <w:szCs w:val="24"/>
        </w:rPr>
        <w:t>experience</w:t>
      </w:r>
      <w:r w:rsidRPr="74164EAF">
        <w:rPr>
          <w:rFonts w:ascii="Lato" w:eastAsia="Lato" w:hAnsi="Lato" w:cs="Lato"/>
          <w:sz w:val="24"/>
          <w:szCs w:val="24"/>
          <w:lang w:val="en-CA"/>
        </w:rPr>
        <w:t xml:space="preserve"> with well water quality are evaluated in the report. </w:t>
      </w:r>
    </w:p>
    <w:p w14:paraId="747D8ED1" w14:textId="3767F5A7" w:rsidR="61D4DB02" w:rsidRDefault="61D4DB02" w:rsidP="00F02DD3">
      <w:pPr>
        <w:pStyle w:val="ListParagraph"/>
        <w:numPr>
          <w:ilvl w:val="0"/>
          <w:numId w:val="4"/>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The report describes and evaluates those land uses that could affect groundwater quality within a </w:t>
      </w:r>
      <w:r w:rsidRPr="74164EAF">
        <w:rPr>
          <w:rFonts w:ascii="Lato" w:eastAsia="Lato" w:hAnsi="Lato" w:cs="Lato"/>
          <w:color w:val="000000" w:themeColor="text1"/>
          <w:sz w:val="24"/>
          <w:szCs w:val="24"/>
        </w:rPr>
        <w:t>minimum</w:t>
      </w:r>
      <w:r w:rsidRPr="74164EAF">
        <w:rPr>
          <w:rFonts w:ascii="Lato" w:eastAsia="Lato" w:hAnsi="Lato" w:cs="Lato"/>
          <w:sz w:val="24"/>
          <w:szCs w:val="24"/>
          <w:lang w:val="en-CA"/>
        </w:rPr>
        <w:t xml:space="preserve"> of 500 m from the </w:t>
      </w:r>
      <w:proofErr w:type="gramStart"/>
      <w:r w:rsidRPr="74164EAF">
        <w:rPr>
          <w:rFonts w:ascii="Lato" w:eastAsia="Lato" w:hAnsi="Lato" w:cs="Lato"/>
          <w:sz w:val="24"/>
          <w:szCs w:val="24"/>
          <w:lang w:val="en-CA"/>
        </w:rPr>
        <w:t>site;</w:t>
      </w:r>
      <w:proofErr w:type="gramEnd"/>
      <w:r w:rsidRPr="74164EAF">
        <w:rPr>
          <w:rFonts w:ascii="Lato" w:eastAsia="Lato" w:hAnsi="Lato" w:cs="Lato"/>
          <w:sz w:val="24"/>
          <w:szCs w:val="24"/>
          <w:lang w:val="en-CA"/>
        </w:rPr>
        <w:t xml:space="preserve"> and accounts for this in the groundwater sampling program</w:t>
      </w:r>
      <w:r w:rsidR="0DCA2F2A" w:rsidRPr="74164EAF">
        <w:rPr>
          <w:rFonts w:ascii="Lato" w:eastAsia="Lato" w:hAnsi="Lato" w:cs="Lato"/>
          <w:sz w:val="24"/>
          <w:szCs w:val="24"/>
          <w:lang w:val="en-CA"/>
        </w:rPr>
        <w:t>.</w:t>
      </w:r>
    </w:p>
    <w:p w14:paraId="4B563642" w14:textId="488F893C" w:rsidR="6C0201C1" w:rsidRDefault="6C0201C1" w:rsidP="4CC94402">
      <w:pPr>
        <w:spacing w:line="360" w:lineRule="auto"/>
        <w:rPr>
          <w:rFonts w:ascii="Lato" w:eastAsia="Lato" w:hAnsi="Lato" w:cs="Lato"/>
          <w:sz w:val="24"/>
          <w:szCs w:val="24"/>
          <w:lang w:val="en-CA"/>
        </w:rPr>
      </w:pPr>
      <w:r>
        <w:rPr>
          <w:noProof/>
        </w:rPr>
        <mc:AlternateContent>
          <mc:Choice Requires="wps">
            <w:drawing>
              <wp:inline distT="0" distB="0" distL="0" distR="0" wp14:anchorId="04CC5EFA" wp14:editId="024E3539">
                <wp:extent cx="6088380" cy="34290"/>
                <wp:effectExtent l="0" t="0" r="26670" b="22860"/>
                <wp:docPr id="835336455"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1424FCCA" w14:textId="6C756937" w:rsidR="0DCA2F2A" w:rsidRDefault="0DCA2F2A" w:rsidP="4CC94402">
      <w:pPr>
        <w:spacing w:line="360" w:lineRule="auto"/>
        <w:rPr>
          <w:rFonts w:ascii="Lato" w:eastAsia="Lato" w:hAnsi="Lato" w:cs="Lato"/>
          <w:b/>
          <w:bCs/>
          <w:sz w:val="26"/>
          <w:szCs w:val="26"/>
          <w:lang w:val="en-CA"/>
        </w:rPr>
      </w:pPr>
      <w:r w:rsidRPr="4CC94402">
        <w:rPr>
          <w:rFonts w:ascii="Lato" w:eastAsia="Lato" w:hAnsi="Lato" w:cs="Lato"/>
          <w:b/>
          <w:bCs/>
          <w:sz w:val="26"/>
          <w:szCs w:val="26"/>
          <w:lang w:val="en-CA"/>
        </w:rPr>
        <w:t>Individual On‐site Sewage Systems:  Water Quality Impact Risk Assessment (Procedure D‐5‐4)</w:t>
      </w:r>
    </w:p>
    <w:p w14:paraId="37620034" w14:textId="197123D1" w:rsidR="0DCA2F2A" w:rsidRDefault="0DCA2F2A" w:rsidP="74F2A41A">
      <w:pPr>
        <w:spacing w:line="360" w:lineRule="auto"/>
        <w:rPr>
          <w:rFonts w:ascii="Lato" w:eastAsia="Lato" w:hAnsi="Lato" w:cs="Lato"/>
          <w:b/>
          <w:bCs/>
          <w:color w:val="2F5496" w:themeColor="accent1" w:themeShade="BF"/>
          <w:sz w:val="24"/>
          <w:szCs w:val="24"/>
          <w:lang w:val="en-CA"/>
        </w:rPr>
      </w:pPr>
      <w:r w:rsidRPr="74F2A41A">
        <w:rPr>
          <w:rFonts w:ascii="Lato" w:eastAsia="Lato" w:hAnsi="Lato" w:cs="Lato"/>
          <w:b/>
          <w:bCs/>
          <w:color w:val="2F5496" w:themeColor="accent1" w:themeShade="BF"/>
          <w:sz w:val="24"/>
          <w:szCs w:val="24"/>
          <w:lang w:val="en-CA"/>
        </w:rPr>
        <w:t>General Evaluation</w:t>
      </w:r>
    </w:p>
    <w:p w14:paraId="05C30B3F" w14:textId="10936CEA" w:rsidR="0DCA2F2A" w:rsidRDefault="0DCA2F2A" w:rsidP="00F02DD3">
      <w:pPr>
        <w:pStyle w:val="ListParagraph"/>
        <w:numPr>
          <w:ilvl w:val="0"/>
          <w:numId w:val="3"/>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Representative background nitrate (as nitrogen) levels from the receiving groundwater and a </w:t>
      </w:r>
      <w:r w:rsidRPr="74164EAF">
        <w:rPr>
          <w:rFonts w:ascii="Lato" w:eastAsia="Lato" w:hAnsi="Lato" w:cs="Lato"/>
          <w:color w:val="000000" w:themeColor="text1"/>
          <w:sz w:val="24"/>
          <w:szCs w:val="24"/>
        </w:rPr>
        <w:t>description</w:t>
      </w:r>
      <w:r w:rsidRPr="74164EAF">
        <w:rPr>
          <w:rFonts w:ascii="Lato" w:eastAsia="Lato" w:hAnsi="Lato" w:cs="Lato"/>
          <w:sz w:val="24"/>
          <w:szCs w:val="24"/>
          <w:lang w:val="en-CA"/>
        </w:rPr>
        <w:t xml:space="preserve"> and justification of the sampling rationale and methodologies are presented. Background nitrate addresses D‐5‐4 guidance. If existing domestic wells are considered representative of the receiving groundwater, a suitable rationale is provided.</w:t>
      </w:r>
    </w:p>
    <w:p w14:paraId="201503B9" w14:textId="7371DEC5" w:rsidR="0DCA2F2A" w:rsidRDefault="0DCA2F2A" w:rsidP="00F02DD3">
      <w:pPr>
        <w:pStyle w:val="ListParagraph"/>
        <w:numPr>
          <w:ilvl w:val="0"/>
          <w:numId w:val="3"/>
        </w:numPr>
        <w:spacing w:before="1" w:line="240" w:lineRule="auto"/>
        <w:ind w:right="6"/>
        <w:contextualSpacing w:val="0"/>
        <w:rPr>
          <w:lang w:val="en-CA"/>
        </w:rPr>
      </w:pPr>
      <w:r w:rsidRPr="74F2A41A">
        <w:rPr>
          <w:rFonts w:ascii="Lato" w:eastAsia="Lato" w:hAnsi="Lato" w:cs="Lato"/>
          <w:sz w:val="24"/>
          <w:szCs w:val="24"/>
          <w:lang w:val="en-CA"/>
        </w:rPr>
        <w:t xml:space="preserve">The report demonstrates that the location of future septic systems is not obviously </w:t>
      </w:r>
      <w:proofErr w:type="spellStart"/>
      <w:r w:rsidRPr="74F2A41A">
        <w:rPr>
          <w:rFonts w:ascii="Lato" w:eastAsia="Lato" w:hAnsi="Lato" w:cs="Lato"/>
          <w:sz w:val="24"/>
          <w:szCs w:val="24"/>
          <w:lang w:val="en-CA"/>
        </w:rPr>
        <w:t>hydrogeologically</w:t>
      </w:r>
      <w:proofErr w:type="spellEnd"/>
      <w:r w:rsidRPr="74F2A41A">
        <w:rPr>
          <w:rFonts w:ascii="Lato" w:eastAsia="Lato" w:hAnsi="Lato" w:cs="Lato"/>
          <w:sz w:val="24"/>
          <w:szCs w:val="24"/>
          <w:lang w:val="en-CA"/>
        </w:rPr>
        <w:t xml:space="preserve"> sensitive (</w:t>
      </w:r>
      <w:proofErr w:type="gramStart"/>
      <w:r w:rsidRPr="74F2A41A">
        <w:rPr>
          <w:rFonts w:ascii="Lato" w:eastAsia="Lato" w:hAnsi="Lato" w:cs="Lato"/>
          <w:sz w:val="24"/>
          <w:szCs w:val="24"/>
          <w:lang w:val="en-CA"/>
        </w:rPr>
        <w:t>i.e.</w:t>
      </w:r>
      <w:proofErr w:type="gramEnd"/>
      <w:r w:rsidRPr="74F2A41A">
        <w:rPr>
          <w:rFonts w:ascii="Lato" w:eastAsia="Lato" w:hAnsi="Lato" w:cs="Lato"/>
          <w:sz w:val="24"/>
          <w:szCs w:val="24"/>
          <w:lang w:val="en-CA"/>
        </w:rPr>
        <w:t xml:space="preserve"> no karst, fractured bedrock exposed at surface, areas of thin soil cover, or areas with highly permeable soils). Simple justification is given based on appropriate technical information and analyses (</w:t>
      </w:r>
      <w:proofErr w:type="gramStart"/>
      <w:r w:rsidRPr="74F2A41A">
        <w:rPr>
          <w:rFonts w:ascii="Lato" w:eastAsia="Lato" w:hAnsi="Lato" w:cs="Lato"/>
          <w:sz w:val="24"/>
          <w:szCs w:val="24"/>
          <w:lang w:val="en-CA"/>
        </w:rPr>
        <w:t>e.g.</w:t>
      </w:r>
      <w:proofErr w:type="gramEnd"/>
      <w:r w:rsidRPr="74F2A41A">
        <w:rPr>
          <w:rFonts w:ascii="Lato" w:eastAsia="Lato" w:hAnsi="Lato" w:cs="Lato"/>
          <w:sz w:val="24"/>
          <w:szCs w:val="24"/>
          <w:lang w:val="en-CA"/>
        </w:rPr>
        <w:t xml:space="preserve"> </w:t>
      </w:r>
      <w:proofErr w:type="spellStart"/>
      <w:r w:rsidRPr="74F2A41A">
        <w:rPr>
          <w:rFonts w:ascii="Lato" w:eastAsia="Lato" w:hAnsi="Lato" w:cs="Lato"/>
          <w:sz w:val="24"/>
          <w:szCs w:val="24"/>
          <w:lang w:val="en-CA"/>
        </w:rPr>
        <w:t>airphotos</w:t>
      </w:r>
      <w:proofErr w:type="spellEnd"/>
      <w:r w:rsidRPr="74F2A41A">
        <w:rPr>
          <w:rFonts w:ascii="Lato" w:eastAsia="Lato" w:hAnsi="Lato" w:cs="Lato"/>
          <w:sz w:val="24"/>
          <w:szCs w:val="24"/>
          <w:lang w:val="en-CA"/>
        </w:rPr>
        <w:t>, regional geological mapping, water well records etc.) Current Geological information, including karst and bedrock outcrop mapping, is available here: http://www.mndm.gov.on.ca/en/mines‐and‐</w:t>
      </w:r>
      <w:r w:rsidRPr="74F2A41A">
        <w:rPr>
          <w:rFonts w:ascii="Lato" w:eastAsia="Lato" w:hAnsi="Lato" w:cs="Lato"/>
          <w:sz w:val="24"/>
          <w:szCs w:val="24"/>
          <w:lang w:val="en-CA"/>
        </w:rPr>
        <w:lastRenderedPageBreak/>
        <w:t>minerals/</w:t>
      </w:r>
      <w:r w:rsidRPr="74F2A41A">
        <w:rPr>
          <w:rFonts w:ascii="Lato" w:eastAsia="Lato" w:hAnsi="Lato" w:cs="Lato"/>
          <w:color w:val="000000" w:themeColor="text1"/>
          <w:sz w:val="24"/>
          <w:szCs w:val="24"/>
        </w:rPr>
        <w:t>applications</w:t>
      </w:r>
      <w:r w:rsidRPr="74F2A41A">
        <w:rPr>
          <w:rFonts w:ascii="Lato" w:eastAsia="Lato" w:hAnsi="Lato" w:cs="Lato"/>
          <w:sz w:val="24"/>
          <w:szCs w:val="24"/>
          <w:lang w:val="en-CA"/>
        </w:rPr>
        <w:t>/</w:t>
      </w:r>
      <w:proofErr w:type="spellStart"/>
      <w:r w:rsidRPr="74F2A41A">
        <w:rPr>
          <w:rFonts w:ascii="Lato" w:eastAsia="Lato" w:hAnsi="Lato" w:cs="Lato"/>
          <w:sz w:val="24"/>
          <w:szCs w:val="24"/>
          <w:lang w:val="en-CA"/>
        </w:rPr>
        <w:t>ogsearth</w:t>
      </w:r>
      <w:proofErr w:type="spellEnd"/>
      <w:r w:rsidRPr="74F2A41A">
        <w:rPr>
          <w:rFonts w:ascii="Lato" w:eastAsia="Lato" w:hAnsi="Lato" w:cs="Lato"/>
          <w:sz w:val="24"/>
          <w:szCs w:val="24"/>
          <w:lang w:val="en-CA"/>
        </w:rPr>
        <w:t xml:space="preserve">. Overburden isopach data is available from the Ontario Geological Survey’s GIS data‐release associated with Aggregate Resources Inventory Paper, </w:t>
      </w:r>
      <w:proofErr w:type="spellStart"/>
      <w:r w:rsidRPr="74F2A41A">
        <w:rPr>
          <w:rFonts w:ascii="Lato" w:eastAsia="Lato" w:hAnsi="Lato" w:cs="Lato"/>
          <w:sz w:val="24"/>
          <w:szCs w:val="24"/>
          <w:lang w:val="en-CA"/>
        </w:rPr>
        <w:t>ARIP</w:t>
      </w:r>
      <w:proofErr w:type="spellEnd"/>
      <w:r w:rsidRPr="74F2A41A">
        <w:rPr>
          <w:rFonts w:ascii="Lato" w:eastAsia="Lato" w:hAnsi="Lato" w:cs="Lato"/>
          <w:sz w:val="24"/>
          <w:szCs w:val="24"/>
          <w:lang w:val="en-CA"/>
        </w:rPr>
        <w:t xml:space="preserve"> 189: </w:t>
      </w:r>
      <w:hyperlink r:id="rId8">
        <w:r w:rsidRPr="74F2A41A">
          <w:rPr>
            <w:rStyle w:val="Hyperlink"/>
            <w:rFonts w:ascii="Lato" w:eastAsia="Lato" w:hAnsi="Lato" w:cs="Lato"/>
            <w:color w:val="5C961D"/>
            <w:sz w:val="24"/>
            <w:szCs w:val="24"/>
            <w:lang w:val="en-CA"/>
          </w:rPr>
          <w:t>http://www.geologyontario.mndmf.gov.on.ca/mndmaccess/mndm_dir.asp?type=pub&amp;id=ARIP189</w:t>
        </w:r>
      </w:hyperlink>
    </w:p>
    <w:p w14:paraId="1DE1145B" w14:textId="34FC3F0C" w:rsidR="0DCA2F2A" w:rsidRDefault="0DCA2F2A" w:rsidP="00F02DD3">
      <w:pPr>
        <w:pStyle w:val="ListParagraph"/>
        <w:numPr>
          <w:ilvl w:val="0"/>
          <w:numId w:val="3"/>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Where soil depths are likely less than two (2) metres, simple on‐site soil depth testing information, including photographs are provided and evaluated in the report.</w:t>
      </w:r>
    </w:p>
    <w:p w14:paraId="0178F8B0" w14:textId="3776C965" w:rsidR="0DCA2F2A" w:rsidRDefault="0DCA2F2A" w:rsidP="00F02DD3">
      <w:pPr>
        <w:pStyle w:val="ListParagraph"/>
        <w:numPr>
          <w:ilvl w:val="0"/>
          <w:numId w:val="3"/>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Where karst is likely present, such as along the eastern boarder of Lanark County, evidence of complete on‐site terrain characterization, including photographs, is </w:t>
      </w:r>
      <w:proofErr w:type="gramStart"/>
      <w:r w:rsidRPr="74164EAF">
        <w:rPr>
          <w:rFonts w:ascii="Lato" w:eastAsia="Lato" w:hAnsi="Lato" w:cs="Lato"/>
          <w:sz w:val="24"/>
          <w:szCs w:val="24"/>
          <w:lang w:val="en-CA"/>
        </w:rPr>
        <w:t>provided</w:t>
      </w:r>
      <w:proofErr w:type="gramEnd"/>
      <w:r w:rsidRPr="74164EAF">
        <w:rPr>
          <w:rFonts w:ascii="Lato" w:eastAsia="Lato" w:hAnsi="Lato" w:cs="Lato"/>
          <w:sz w:val="24"/>
          <w:szCs w:val="24"/>
          <w:lang w:val="en-CA"/>
        </w:rPr>
        <w:t xml:space="preserve"> and evaluated in the report.  </w:t>
      </w:r>
      <w:r w:rsidR="1EB99539" w:rsidRPr="74164EAF">
        <w:rPr>
          <w:rFonts w:ascii="Lato" w:eastAsia="Lato" w:hAnsi="Lato" w:cs="Lato"/>
          <w:sz w:val="24"/>
          <w:szCs w:val="24"/>
          <w:lang w:val="en-CA"/>
        </w:rPr>
        <w:t>The consultant was consulted when determining the field program for this work.</w:t>
      </w:r>
    </w:p>
    <w:p w14:paraId="799AAAA4" w14:textId="602769C0" w:rsidR="0DCA2F2A" w:rsidRDefault="0DCA2F2A" w:rsidP="00F02DD3">
      <w:pPr>
        <w:pStyle w:val="ListParagraph"/>
        <w:numPr>
          <w:ilvl w:val="0"/>
          <w:numId w:val="3"/>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Where </w:t>
      </w:r>
      <w:r w:rsidRPr="74164EAF">
        <w:rPr>
          <w:rFonts w:ascii="Lato" w:eastAsia="Lato" w:hAnsi="Lato" w:cs="Lato"/>
          <w:color w:val="000000" w:themeColor="text1"/>
          <w:sz w:val="24"/>
          <w:szCs w:val="24"/>
        </w:rPr>
        <w:t>highly</w:t>
      </w:r>
      <w:r w:rsidRPr="74164EAF">
        <w:rPr>
          <w:rFonts w:ascii="Lato" w:eastAsia="Lato" w:hAnsi="Lato" w:cs="Lato"/>
          <w:sz w:val="24"/>
          <w:szCs w:val="24"/>
          <w:lang w:val="en-CA"/>
        </w:rPr>
        <w:t xml:space="preserve"> permeable soils are likely present, soil profiles and grain size analyses are provided and evaluated in the report.</w:t>
      </w:r>
    </w:p>
    <w:p w14:paraId="020DC8A6" w14:textId="1BDCC08C" w:rsidR="0DCA2F2A" w:rsidRDefault="0DCA2F2A" w:rsidP="00F02DD3">
      <w:pPr>
        <w:pStyle w:val="ListParagraph"/>
        <w:numPr>
          <w:ilvl w:val="0"/>
          <w:numId w:val="3"/>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Where </w:t>
      </w:r>
      <w:r w:rsidRPr="74164EAF">
        <w:rPr>
          <w:rFonts w:ascii="Lato" w:eastAsia="Lato" w:hAnsi="Lato" w:cs="Lato"/>
          <w:color w:val="000000" w:themeColor="text1"/>
          <w:sz w:val="24"/>
          <w:szCs w:val="24"/>
        </w:rPr>
        <w:t>obviously</w:t>
      </w:r>
      <w:r w:rsidRPr="74164EAF">
        <w:rPr>
          <w:rFonts w:ascii="Lato" w:eastAsia="Lato" w:hAnsi="Lato" w:cs="Lato"/>
          <w:sz w:val="24"/>
          <w:szCs w:val="24"/>
          <w:lang w:val="en-CA"/>
        </w:rPr>
        <w:t xml:space="preserve"> hydro</w:t>
      </w:r>
      <w:r w:rsidR="00F02DD3">
        <w:rPr>
          <w:rFonts w:ascii="Lato" w:eastAsia="Lato" w:hAnsi="Lato" w:cs="Lato"/>
          <w:sz w:val="24"/>
          <w:szCs w:val="24"/>
          <w:lang w:val="en-CA"/>
        </w:rPr>
        <w:t>-</w:t>
      </w:r>
      <w:r w:rsidRPr="74164EAF">
        <w:rPr>
          <w:rFonts w:ascii="Lato" w:eastAsia="Lato" w:hAnsi="Lato" w:cs="Lato"/>
          <w:sz w:val="24"/>
          <w:szCs w:val="24"/>
          <w:lang w:val="en-CA"/>
        </w:rPr>
        <w:t>geologically sensitive terrain is found on‐site, best management practices that would be prescribed in the development agreement or site plan agreement to reduce the risk of impacts to on‐site and off‐site water wells, including but not limited to the following, are prescribed in the report recommendations:   locating wells up‐gradient from septic systems; increased casing lengths; increased separation distances between all down‐gradient water wells and septic systems; tertiary septic systems with nutrient reduction technologies; separation of septic systems from constraints; etc. *</w:t>
      </w:r>
    </w:p>
    <w:p w14:paraId="6CA9CBCF" w14:textId="67D1D8EF" w:rsidR="0DCA2F2A" w:rsidRDefault="0DCA2F2A" w:rsidP="00F02DD3">
      <w:pPr>
        <w:pStyle w:val="ListParagraph"/>
        <w:numPr>
          <w:ilvl w:val="0"/>
          <w:numId w:val="3"/>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If </w:t>
      </w:r>
      <w:r w:rsidRPr="74164EAF">
        <w:rPr>
          <w:rFonts w:ascii="Lato" w:eastAsia="Lato" w:hAnsi="Lato" w:cs="Lato"/>
          <w:color w:val="000000" w:themeColor="text1"/>
          <w:sz w:val="24"/>
          <w:szCs w:val="24"/>
        </w:rPr>
        <w:t>constraints</w:t>
      </w:r>
      <w:r w:rsidRPr="74164EAF">
        <w:rPr>
          <w:rFonts w:ascii="Lato" w:eastAsia="Lato" w:hAnsi="Lato" w:cs="Lato"/>
          <w:sz w:val="24"/>
          <w:szCs w:val="24"/>
          <w:lang w:val="en-CA"/>
        </w:rPr>
        <w:t xml:space="preserve"> that affect the location of septic systems and water wells exist on‐site, then a </w:t>
      </w:r>
      <w:proofErr w:type="gramStart"/>
      <w:r w:rsidRPr="74164EAF">
        <w:rPr>
          <w:rFonts w:ascii="Lato" w:eastAsia="Lato" w:hAnsi="Lato" w:cs="Lato"/>
          <w:sz w:val="24"/>
          <w:szCs w:val="24"/>
          <w:lang w:val="en-CA"/>
        </w:rPr>
        <w:t>lot</w:t>
      </w:r>
      <w:proofErr w:type="gramEnd"/>
      <w:r w:rsidRPr="74164EAF">
        <w:rPr>
          <w:rFonts w:ascii="Lato" w:eastAsia="Lato" w:hAnsi="Lato" w:cs="Lato"/>
          <w:sz w:val="24"/>
          <w:szCs w:val="24"/>
          <w:lang w:val="en-CA"/>
        </w:rPr>
        <w:t xml:space="preserve"> layout plan that includes these constraints (hydro</w:t>
      </w:r>
      <w:r w:rsidR="00F02DD3">
        <w:rPr>
          <w:rFonts w:ascii="Lato" w:eastAsia="Lato" w:hAnsi="Lato" w:cs="Lato"/>
          <w:sz w:val="24"/>
          <w:szCs w:val="24"/>
          <w:lang w:val="en-CA"/>
        </w:rPr>
        <w:t>-</w:t>
      </w:r>
      <w:r w:rsidRPr="74164EAF">
        <w:rPr>
          <w:rFonts w:ascii="Lato" w:eastAsia="Lato" w:hAnsi="Lato" w:cs="Lato"/>
          <w:sz w:val="24"/>
          <w:szCs w:val="24"/>
          <w:lang w:val="en-CA"/>
        </w:rPr>
        <w:t xml:space="preserve">geologically sensitive terrain, hazard set‐backs, MDS set‐backs etc.), the proposed septic system locations and the proposed water wells locations is provided. </w:t>
      </w:r>
    </w:p>
    <w:p w14:paraId="2ECD58A4" w14:textId="5D62105D" w:rsidR="0DCA2F2A" w:rsidRDefault="0DCA2F2A" w:rsidP="00F02DD3">
      <w:pPr>
        <w:pStyle w:val="ListParagraph"/>
        <w:numPr>
          <w:ilvl w:val="0"/>
          <w:numId w:val="3"/>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All field </w:t>
      </w:r>
      <w:r w:rsidRPr="74164EAF">
        <w:rPr>
          <w:rFonts w:ascii="Lato" w:eastAsia="Lato" w:hAnsi="Lato" w:cs="Lato"/>
          <w:color w:val="000000" w:themeColor="text1"/>
          <w:sz w:val="24"/>
          <w:szCs w:val="24"/>
        </w:rPr>
        <w:t>methods</w:t>
      </w:r>
      <w:r w:rsidRPr="74164EAF">
        <w:rPr>
          <w:rFonts w:ascii="Lato" w:eastAsia="Lato" w:hAnsi="Lato" w:cs="Lato"/>
          <w:sz w:val="24"/>
          <w:szCs w:val="24"/>
          <w:lang w:val="en-CA"/>
        </w:rPr>
        <w:t xml:space="preserve"> are described in the report and meet standard industry practice.</w:t>
      </w:r>
    </w:p>
    <w:p w14:paraId="50839601" w14:textId="52972119" w:rsidR="5F7595E8" w:rsidRDefault="5F7595E8" w:rsidP="4CC94402">
      <w:pPr>
        <w:spacing w:line="360" w:lineRule="auto"/>
        <w:rPr>
          <w:rFonts w:ascii="Lato" w:eastAsia="Lato" w:hAnsi="Lato" w:cs="Lato"/>
          <w:sz w:val="24"/>
          <w:szCs w:val="24"/>
          <w:lang w:val="en-CA"/>
        </w:rPr>
      </w:pPr>
      <w:r>
        <w:rPr>
          <w:noProof/>
        </w:rPr>
        <mc:AlternateContent>
          <mc:Choice Requires="wps">
            <w:drawing>
              <wp:inline distT="0" distB="0" distL="0" distR="0" wp14:anchorId="2EF0F3B1" wp14:editId="27BDAC34">
                <wp:extent cx="6088380" cy="34290"/>
                <wp:effectExtent l="0" t="0" r="26670" b="22860"/>
                <wp:docPr id="295894187"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77BC1990" w14:textId="6BF4FF96" w:rsidR="0DCA2F2A" w:rsidRDefault="0DCA2F2A" w:rsidP="74F2A41A">
      <w:pPr>
        <w:spacing w:line="360" w:lineRule="auto"/>
        <w:rPr>
          <w:rFonts w:ascii="Lato" w:eastAsia="Lato" w:hAnsi="Lato" w:cs="Lato"/>
          <w:b/>
          <w:bCs/>
          <w:sz w:val="26"/>
          <w:szCs w:val="26"/>
          <w:lang w:val="en-CA"/>
        </w:rPr>
      </w:pPr>
      <w:r w:rsidRPr="74F2A41A">
        <w:rPr>
          <w:rFonts w:ascii="Lato" w:eastAsia="Lato" w:hAnsi="Lato" w:cs="Lato"/>
          <w:b/>
          <w:bCs/>
          <w:sz w:val="26"/>
          <w:szCs w:val="26"/>
          <w:lang w:val="en-CA"/>
        </w:rPr>
        <w:t>Water Quality Impact Risk Analysis: Three‐Step Assessment Process</w:t>
      </w:r>
    </w:p>
    <w:p w14:paraId="5B1AF5FD" w14:textId="7A183C7F" w:rsidR="0DCA2F2A" w:rsidRDefault="0DCA2F2A" w:rsidP="00F02DD3">
      <w:pPr>
        <w:pStyle w:val="ListParagraph"/>
        <w:numPr>
          <w:ilvl w:val="0"/>
          <w:numId w:val="2"/>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t xml:space="preserve">If lots </w:t>
      </w:r>
      <w:r w:rsidRPr="74164EAF">
        <w:rPr>
          <w:rFonts w:ascii="Lato" w:eastAsia="Lato" w:hAnsi="Lato" w:cs="Lato"/>
          <w:color w:val="000000" w:themeColor="text1"/>
          <w:sz w:val="24"/>
          <w:szCs w:val="24"/>
        </w:rPr>
        <w:t>are</w:t>
      </w:r>
      <w:r w:rsidRPr="74164EAF">
        <w:rPr>
          <w:rFonts w:ascii="Lato" w:eastAsia="Lato" w:hAnsi="Lato" w:cs="Lato"/>
          <w:sz w:val="24"/>
          <w:szCs w:val="24"/>
          <w:lang w:val="en-CA"/>
        </w:rPr>
        <w:t xml:space="preserve"> one hectare or greater and the site does not exhibit elevated nitrate levels or hydro</w:t>
      </w:r>
      <w:r w:rsidR="005B5A7C" w:rsidRPr="74164EAF">
        <w:rPr>
          <w:rFonts w:ascii="Lato" w:eastAsia="Lato" w:hAnsi="Lato" w:cs="Lato"/>
          <w:sz w:val="24"/>
          <w:szCs w:val="24"/>
          <w:lang w:val="en-CA"/>
        </w:rPr>
        <w:t>-</w:t>
      </w:r>
      <w:r w:rsidRPr="74164EAF">
        <w:rPr>
          <w:rFonts w:ascii="Lato" w:eastAsia="Lato" w:hAnsi="Lato" w:cs="Lato"/>
          <w:sz w:val="24"/>
          <w:szCs w:val="24"/>
          <w:lang w:val="en-CA"/>
        </w:rPr>
        <w:t xml:space="preserve">geologically sensitive </w:t>
      </w:r>
      <w:r w:rsidR="005B5A7C" w:rsidRPr="74164EAF">
        <w:rPr>
          <w:rFonts w:ascii="Lato" w:eastAsia="Lato" w:hAnsi="Lato" w:cs="Lato"/>
          <w:sz w:val="24"/>
          <w:szCs w:val="24"/>
          <w:lang w:val="en-CA"/>
        </w:rPr>
        <w:t>terrain,</w:t>
      </w:r>
      <w:r w:rsidRPr="74164EAF">
        <w:rPr>
          <w:rFonts w:ascii="Lato" w:eastAsia="Lato" w:hAnsi="Lato" w:cs="Lato"/>
          <w:sz w:val="24"/>
          <w:szCs w:val="24"/>
          <w:lang w:val="en-CA"/>
        </w:rPr>
        <w:t xml:space="preserve"> then no additional work is required. </w:t>
      </w:r>
    </w:p>
    <w:p w14:paraId="77130679" w14:textId="1D8596F6" w:rsidR="0DCA2F2A" w:rsidRDefault="0DCA2F2A" w:rsidP="00F02DD3">
      <w:pPr>
        <w:pStyle w:val="ListParagraph"/>
        <w:numPr>
          <w:ilvl w:val="0"/>
          <w:numId w:val="2"/>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t xml:space="preserve">If lots are less than one hectare but are underlain by ten metres or more of massive clay (or </w:t>
      </w:r>
      <w:r w:rsidRPr="74164EAF">
        <w:rPr>
          <w:rFonts w:ascii="Lato" w:eastAsia="Lato" w:hAnsi="Lato" w:cs="Lato"/>
          <w:color w:val="000000" w:themeColor="text1"/>
          <w:sz w:val="24"/>
          <w:szCs w:val="24"/>
        </w:rPr>
        <w:t>sediment</w:t>
      </w:r>
      <w:r w:rsidRPr="74164EAF">
        <w:rPr>
          <w:rFonts w:ascii="Lato" w:eastAsia="Lato" w:hAnsi="Lato" w:cs="Lato"/>
          <w:sz w:val="24"/>
          <w:szCs w:val="24"/>
          <w:lang w:val="en-CA"/>
        </w:rPr>
        <w:t xml:space="preserve"> of similar low hydraulic conductivity), then no additional work is required.</w:t>
      </w:r>
    </w:p>
    <w:p w14:paraId="78D6E096" w14:textId="448B8D82" w:rsidR="0DCA2F2A" w:rsidRDefault="0DCA2F2A" w:rsidP="00F02DD3">
      <w:pPr>
        <w:pStyle w:val="ListParagraph"/>
        <w:numPr>
          <w:ilvl w:val="0"/>
          <w:numId w:val="2"/>
        </w:numPr>
        <w:spacing w:before="1" w:line="240" w:lineRule="auto"/>
        <w:ind w:left="714" w:right="6" w:hanging="357"/>
        <w:contextualSpacing w:val="0"/>
        <w:rPr>
          <w:rFonts w:ascii="Lato" w:eastAsia="Lato" w:hAnsi="Lato" w:cs="Lato"/>
          <w:sz w:val="24"/>
          <w:szCs w:val="24"/>
          <w:lang w:val="en-CA"/>
        </w:rPr>
      </w:pPr>
      <w:r w:rsidRPr="74164EAF">
        <w:rPr>
          <w:rFonts w:ascii="Lato" w:eastAsia="Lato" w:hAnsi="Lato" w:cs="Lato"/>
          <w:sz w:val="24"/>
          <w:szCs w:val="24"/>
          <w:lang w:val="en-CA"/>
        </w:rPr>
        <w:lastRenderedPageBreak/>
        <w:t>If lots are less than one hectare and do not exhibit elevated nitrate levels or hydro</w:t>
      </w:r>
      <w:r w:rsidR="005B5A7C" w:rsidRPr="74164EAF">
        <w:rPr>
          <w:rFonts w:ascii="Lato" w:eastAsia="Lato" w:hAnsi="Lato" w:cs="Lato"/>
          <w:sz w:val="24"/>
          <w:szCs w:val="24"/>
          <w:lang w:val="en-CA"/>
        </w:rPr>
        <w:t>-</w:t>
      </w:r>
      <w:r w:rsidRPr="74164EAF">
        <w:rPr>
          <w:rFonts w:ascii="Lato" w:eastAsia="Lato" w:hAnsi="Lato" w:cs="Lato"/>
          <w:sz w:val="24"/>
          <w:szCs w:val="24"/>
          <w:lang w:val="en-CA"/>
        </w:rPr>
        <w:t xml:space="preserve">geologically sensitive terrain, then a predictive contaminant attenuation </w:t>
      </w:r>
      <w:r w:rsidRPr="74164EAF">
        <w:rPr>
          <w:rFonts w:ascii="Lato" w:eastAsia="Lato" w:hAnsi="Lato" w:cs="Lato"/>
          <w:color w:val="000000" w:themeColor="text1"/>
          <w:sz w:val="24"/>
          <w:szCs w:val="24"/>
        </w:rPr>
        <w:t>assessment</w:t>
      </w:r>
      <w:r w:rsidRPr="74164EAF">
        <w:rPr>
          <w:rFonts w:ascii="Lato" w:eastAsia="Lato" w:hAnsi="Lato" w:cs="Lato"/>
          <w:sz w:val="24"/>
          <w:szCs w:val="24"/>
          <w:lang w:val="en-CA"/>
        </w:rPr>
        <w:t xml:space="preserve"> is provided as per Procedure D‐5‐4. The available water surplus, to be used in the assessment, can be obtained for site specific soils and local climate data from Environment Canada.</w:t>
      </w:r>
    </w:p>
    <w:p w14:paraId="2FBF3AE2" w14:textId="67D2B5DC" w:rsidR="08FB43E3" w:rsidRDefault="08FB43E3" w:rsidP="4CC94402">
      <w:pPr>
        <w:spacing w:line="360" w:lineRule="auto"/>
        <w:rPr>
          <w:rFonts w:ascii="Lato" w:eastAsia="Lato" w:hAnsi="Lato" w:cs="Lato"/>
          <w:sz w:val="24"/>
          <w:szCs w:val="24"/>
          <w:lang w:val="en-CA"/>
        </w:rPr>
      </w:pPr>
      <w:r>
        <w:rPr>
          <w:noProof/>
        </w:rPr>
        <mc:AlternateContent>
          <mc:Choice Requires="wps">
            <w:drawing>
              <wp:inline distT="0" distB="0" distL="0" distR="0" wp14:anchorId="66D09965" wp14:editId="08897260">
                <wp:extent cx="6088380" cy="34290"/>
                <wp:effectExtent l="0" t="0" r="26670" b="22860"/>
                <wp:docPr id="598885448"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2B345D0B" w14:textId="4B7262FB" w:rsidR="0DCA2F2A" w:rsidRDefault="0DCA2F2A" w:rsidP="74F2A41A">
      <w:pPr>
        <w:spacing w:line="360" w:lineRule="auto"/>
        <w:rPr>
          <w:rFonts w:ascii="Lato" w:eastAsia="Lato" w:hAnsi="Lato" w:cs="Lato"/>
          <w:b/>
          <w:bCs/>
          <w:sz w:val="26"/>
          <w:szCs w:val="26"/>
          <w:lang w:val="en-CA"/>
        </w:rPr>
      </w:pPr>
      <w:r w:rsidRPr="74F2A41A">
        <w:rPr>
          <w:rFonts w:ascii="Lato" w:eastAsia="Lato" w:hAnsi="Lato" w:cs="Lato"/>
          <w:b/>
          <w:bCs/>
          <w:sz w:val="26"/>
          <w:szCs w:val="26"/>
          <w:lang w:val="en-CA"/>
        </w:rPr>
        <w:t>Conclusions and Recommendations</w:t>
      </w:r>
    </w:p>
    <w:p w14:paraId="2A16160A" w14:textId="77961A97" w:rsidR="0DCA2F2A" w:rsidRDefault="0DCA2F2A" w:rsidP="00F02DD3">
      <w:pPr>
        <w:pStyle w:val="ListParagraph"/>
        <w:numPr>
          <w:ilvl w:val="0"/>
          <w:numId w:val="1"/>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Substantiated professional conclusions, which reference key study findings, are provided in the report and stipulate that the proposed development will have no adverse impact on the reasonable use of groundwater on existing and future adjacent properties. </w:t>
      </w:r>
    </w:p>
    <w:p w14:paraId="77698539" w14:textId="70B41F8E" w:rsidR="0DCA2F2A" w:rsidRDefault="0DCA2F2A" w:rsidP="00F02DD3">
      <w:pPr>
        <w:pStyle w:val="ListParagraph"/>
        <w:numPr>
          <w:ilvl w:val="0"/>
          <w:numId w:val="1"/>
        </w:numPr>
        <w:spacing w:before="1" w:line="240" w:lineRule="auto"/>
        <w:ind w:right="6"/>
        <w:contextualSpacing w:val="0"/>
        <w:rPr>
          <w:rFonts w:ascii="Lato" w:eastAsia="Lato" w:hAnsi="Lato" w:cs="Lato"/>
          <w:sz w:val="24"/>
          <w:szCs w:val="24"/>
          <w:lang w:val="en-CA"/>
        </w:rPr>
      </w:pPr>
      <w:r w:rsidRPr="74164EAF">
        <w:rPr>
          <w:rFonts w:ascii="Lato" w:eastAsia="Lato" w:hAnsi="Lato" w:cs="Lato"/>
          <w:sz w:val="24"/>
          <w:szCs w:val="24"/>
          <w:lang w:val="en-CA"/>
        </w:rPr>
        <w:t xml:space="preserve">A list of informative findings and recommendations, which can be reproduced in the development agreement or site plan agreement, is provided in the report. Recommendations include: </w:t>
      </w:r>
      <w:proofErr w:type="spellStart"/>
      <w:r w:rsidRPr="74164EAF">
        <w:rPr>
          <w:rFonts w:ascii="Lato" w:eastAsia="Lato" w:hAnsi="Lato" w:cs="Lato"/>
          <w:sz w:val="24"/>
          <w:szCs w:val="24"/>
          <w:lang w:val="en-CA"/>
        </w:rPr>
        <w:t>OWTS</w:t>
      </w:r>
      <w:proofErr w:type="spellEnd"/>
      <w:r w:rsidRPr="74164EAF">
        <w:rPr>
          <w:rFonts w:ascii="Lato" w:eastAsia="Lato" w:hAnsi="Lato" w:cs="Lato"/>
          <w:sz w:val="24"/>
          <w:szCs w:val="24"/>
          <w:lang w:val="en-CA"/>
        </w:rPr>
        <w:t xml:space="preserve"> location constraints; well and </w:t>
      </w:r>
      <w:proofErr w:type="spellStart"/>
      <w:r w:rsidRPr="74164EAF">
        <w:rPr>
          <w:rFonts w:ascii="Lato" w:eastAsia="Lato" w:hAnsi="Lato" w:cs="Lato"/>
          <w:sz w:val="24"/>
          <w:szCs w:val="24"/>
          <w:lang w:val="en-CA"/>
        </w:rPr>
        <w:t>OWTS</w:t>
      </w:r>
      <w:proofErr w:type="spellEnd"/>
      <w:r w:rsidRPr="74164EAF">
        <w:rPr>
          <w:rFonts w:ascii="Lato" w:eastAsia="Lato" w:hAnsi="Lato" w:cs="Lato"/>
          <w:sz w:val="24"/>
          <w:szCs w:val="24"/>
          <w:lang w:val="en-CA"/>
        </w:rPr>
        <w:t xml:space="preserve"> location, </w:t>
      </w:r>
      <w:proofErr w:type="gramStart"/>
      <w:r w:rsidRPr="74164EAF">
        <w:rPr>
          <w:rFonts w:ascii="Lato" w:eastAsia="Lato" w:hAnsi="Lato" w:cs="Lato"/>
          <w:sz w:val="24"/>
          <w:szCs w:val="24"/>
          <w:lang w:val="en-CA"/>
        </w:rPr>
        <w:t>design</w:t>
      </w:r>
      <w:proofErr w:type="gramEnd"/>
      <w:r w:rsidRPr="74164EAF">
        <w:rPr>
          <w:rFonts w:ascii="Lato" w:eastAsia="Lato" w:hAnsi="Lato" w:cs="Lato"/>
          <w:sz w:val="24"/>
          <w:szCs w:val="24"/>
          <w:lang w:val="en-CA"/>
        </w:rPr>
        <w:t xml:space="preserve"> and construction requirements; drilling supervision requirements; well water treatment recommendations; best management practices for water wells and </w:t>
      </w:r>
      <w:proofErr w:type="spellStart"/>
      <w:r w:rsidRPr="74164EAF">
        <w:rPr>
          <w:rFonts w:ascii="Lato" w:eastAsia="Lato" w:hAnsi="Lato" w:cs="Lato"/>
          <w:sz w:val="24"/>
          <w:szCs w:val="24"/>
          <w:lang w:val="en-CA"/>
        </w:rPr>
        <w:t>OWTS</w:t>
      </w:r>
      <w:proofErr w:type="spellEnd"/>
      <w:r w:rsidRPr="74164EAF">
        <w:rPr>
          <w:rFonts w:ascii="Lato" w:eastAsia="Lato" w:hAnsi="Lato" w:cs="Lato"/>
          <w:sz w:val="24"/>
          <w:szCs w:val="24"/>
          <w:lang w:val="en-CA"/>
        </w:rPr>
        <w:t>; requirements for earth energy systems; warnings about hydraulic fracturing; reference to a constraint map etc.</w:t>
      </w:r>
    </w:p>
    <w:p w14:paraId="1D16D97C" w14:textId="6B289EB6" w:rsidR="0DCA2F2A" w:rsidRDefault="0DCA2F2A" w:rsidP="74F2A41A">
      <w:pPr>
        <w:spacing w:before="1" w:line="240" w:lineRule="auto"/>
        <w:ind w:right="4"/>
        <w:rPr>
          <w:rFonts w:ascii="Lato" w:eastAsia="Lato" w:hAnsi="Lato" w:cs="Lato"/>
          <w:lang w:val="en-CA"/>
        </w:rPr>
      </w:pPr>
      <w:r w:rsidRPr="74F2A41A">
        <w:rPr>
          <w:rFonts w:ascii="Lato" w:eastAsia="Lato" w:hAnsi="Lato" w:cs="Lato"/>
          <w:lang w:val="en-CA"/>
        </w:rPr>
        <w:t xml:space="preserve">* Please note that the </w:t>
      </w:r>
      <w:r w:rsidR="00FA4B16" w:rsidRPr="74F2A41A">
        <w:rPr>
          <w:rFonts w:ascii="Lato" w:eastAsia="Lato" w:hAnsi="Lato" w:cs="Lato"/>
          <w:lang w:val="en-CA"/>
        </w:rPr>
        <w:t xml:space="preserve">consultant </w:t>
      </w:r>
      <w:r w:rsidRPr="74F2A41A">
        <w:rPr>
          <w:rFonts w:ascii="Lato" w:eastAsia="Lato" w:hAnsi="Lato" w:cs="Lato"/>
          <w:lang w:val="en-CA"/>
        </w:rPr>
        <w:t>will indicate that the on‐site conditions do not address provincial guidance where the report recommends locating future on‐site wastewater treatment systems on or adjacent to obviously hydro</w:t>
      </w:r>
      <w:r w:rsidR="00FA4B16" w:rsidRPr="74F2A41A">
        <w:rPr>
          <w:rFonts w:ascii="Lato" w:eastAsia="Lato" w:hAnsi="Lato" w:cs="Lato"/>
          <w:lang w:val="en-CA"/>
        </w:rPr>
        <w:t>-</w:t>
      </w:r>
      <w:r w:rsidRPr="74F2A41A">
        <w:rPr>
          <w:rFonts w:ascii="Lato" w:eastAsia="Lato" w:hAnsi="Lato" w:cs="Lato"/>
          <w:lang w:val="en-CA"/>
        </w:rPr>
        <w:t>geologically sensitive terrain; and / or wher</w:t>
      </w:r>
      <w:r w:rsidRPr="00F02DD3">
        <w:rPr>
          <w:rFonts w:ascii="Lato" w:eastAsia="Lato" w:hAnsi="Lato" w:cs="Lato"/>
          <w:lang w:val="en-CA"/>
        </w:rPr>
        <w:t xml:space="preserve">e the </w:t>
      </w:r>
      <w:r w:rsidRPr="74F2A41A">
        <w:rPr>
          <w:rFonts w:ascii="Lato" w:eastAsia="Lato" w:hAnsi="Lato" w:cs="Lato"/>
          <w:lang w:val="en-CA"/>
        </w:rPr>
        <w:t>report recommends treatment of aesthetic or operational parameters which were measured above the provincial treatability limits.</w:t>
      </w:r>
    </w:p>
    <w:p w14:paraId="1FCEAD7D" w14:textId="1CAFDD43" w:rsidR="4CC94402" w:rsidRDefault="35B7DE52" w:rsidP="4CC94402">
      <w:pPr>
        <w:spacing w:line="360" w:lineRule="auto"/>
        <w:rPr>
          <w:rFonts w:ascii="Lato" w:eastAsia="Lato" w:hAnsi="Lato" w:cs="Lato"/>
          <w:sz w:val="24"/>
          <w:szCs w:val="24"/>
          <w:lang w:val="en-CA"/>
        </w:rPr>
      </w:pPr>
      <w:r>
        <w:rPr>
          <w:noProof/>
        </w:rPr>
        <mc:AlternateContent>
          <mc:Choice Requires="wps">
            <w:drawing>
              <wp:inline distT="0" distB="0" distL="0" distR="0" wp14:anchorId="55682F98" wp14:editId="1B6478AA">
                <wp:extent cx="6088380" cy="34290"/>
                <wp:effectExtent l="0" t="0" r="26670" b="22860"/>
                <wp:docPr id="1589189574" name="Rectangle 1"/>
                <wp:cNvGraphicFramePr/>
                <a:graphic xmlns:a="http://schemas.openxmlformats.org/drawingml/2006/main">
                  <a:graphicData uri="http://schemas.microsoft.com/office/word/2010/wordprocessingShape">
                    <wps:wsp>
                      <wps:cNvSpPr/>
                      <wps:spPr>
                        <a:xfrm>
                          <a:off x="0" y="0"/>
                          <a:ext cx="6088380" cy="34290"/>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sectPr w:rsidR="4CC9440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6A4F" w14:textId="77777777" w:rsidR="000D5898" w:rsidRDefault="00BB1E6A">
      <w:pPr>
        <w:spacing w:after="0" w:line="240" w:lineRule="auto"/>
      </w:pPr>
      <w:r>
        <w:separator/>
      </w:r>
    </w:p>
  </w:endnote>
  <w:endnote w:type="continuationSeparator" w:id="0">
    <w:p w14:paraId="60BAC8FF" w14:textId="77777777" w:rsidR="000D5898" w:rsidRDefault="00BB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AB5C" w14:textId="456944D3" w:rsidR="4CC94402" w:rsidRDefault="4CC94402" w:rsidP="4CC94402">
    <w:pPr>
      <w:pStyle w:val="Footer"/>
    </w:pPr>
  </w:p>
  <w:p w14:paraId="72823C13" w14:textId="77777777" w:rsidR="00172B1A" w:rsidRDefault="00172B1A" w:rsidP="4CC9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354B" w14:textId="77777777" w:rsidR="000D5898" w:rsidRDefault="00BB1E6A">
      <w:pPr>
        <w:spacing w:after="0" w:line="240" w:lineRule="auto"/>
      </w:pPr>
      <w:r>
        <w:separator/>
      </w:r>
    </w:p>
  </w:footnote>
  <w:footnote w:type="continuationSeparator" w:id="0">
    <w:p w14:paraId="7234BEB3" w14:textId="77777777" w:rsidR="000D5898" w:rsidRDefault="00BB1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EAFC" w14:textId="33DD4946" w:rsidR="00D808D9" w:rsidRDefault="00D808D9">
    <w:pPr>
      <w:pStyle w:val="Header"/>
    </w:pPr>
    <w:r>
      <w:rPr>
        <w:noProof/>
      </w:rPr>
      <w:drawing>
        <wp:anchor distT="0" distB="0" distL="114300" distR="114300" simplePos="0" relativeHeight="251659264" behindDoc="0" locked="0" layoutInCell="1" allowOverlap="1" wp14:anchorId="5991EF10" wp14:editId="549E1718">
          <wp:simplePos x="0" y="0"/>
          <wp:positionH relativeFrom="column">
            <wp:posOffset>4480560</wp:posOffset>
          </wp:positionH>
          <wp:positionV relativeFrom="paragraph">
            <wp:posOffset>83820</wp:posOffset>
          </wp:positionV>
          <wp:extent cx="1673470" cy="704619"/>
          <wp:effectExtent l="0" t="0" r="0" b="0"/>
          <wp:wrapNone/>
          <wp:docPr id="1177091063" name="Picture 117709106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91063" name="Picture 117709106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3470" cy="704619"/>
                  </a:xfrm>
                  <a:prstGeom prst="rect">
                    <a:avLst/>
                  </a:prstGeom>
                </pic:spPr>
              </pic:pic>
            </a:graphicData>
          </a:graphic>
          <wp14:sizeRelH relativeFrom="page">
            <wp14:pctWidth>0</wp14:pctWidth>
          </wp14:sizeRelH>
          <wp14:sizeRelV relativeFrom="page">
            <wp14:pctHeight>0</wp14:pctHeight>
          </wp14:sizeRelV>
        </wp:anchor>
      </w:drawing>
    </w:r>
  </w:p>
  <w:p w14:paraId="72DDBD33" w14:textId="0DDEB548" w:rsidR="00D808D9" w:rsidRDefault="00D808D9">
    <w:pPr>
      <w:pStyle w:val="Header"/>
    </w:pPr>
  </w:p>
  <w:p w14:paraId="17716545" w14:textId="7446CB46" w:rsidR="00D808D9" w:rsidRDefault="00D808D9">
    <w:pPr>
      <w:pStyle w:val="Header"/>
    </w:pPr>
  </w:p>
  <w:p w14:paraId="5AF13A02" w14:textId="734B490C" w:rsidR="00D808D9" w:rsidRDefault="00D808D9">
    <w:pPr>
      <w:pStyle w:val="Header"/>
    </w:pPr>
  </w:p>
  <w:p w14:paraId="2A3E47E6" w14:textId="325903D2" w:rsidR="00D808D9" w:rsidRDefault="00D808D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eMqgq39" int2:invalidationBookmarkName="" int2:hashCode="ebGhitUsy5Cfsc" int2:id="tT7nXJL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B2F0"/>
    <w:multiLevelType w:val="hybridMultilevel"/>
    <w:tmpl w:val="B7DE6F82"/>
    <w:lvl w:ilvl="0" w:tplc="2ED27918">
      <w:start w:val="1"/>
      <w:numFmt w:val="decimal"/>
      <w:lvlText w:val="%1."/>
      <w:lvlJc w:val="left"/>
      <w:pPr>
        <w:ind w:left="720" w:hanging="360"/>
      </w:pPr>
    </w:lvl>
    <w:lvl w:ilvl="1" w:tplc="2A20643E">
      <w:start w:val="1"/>
      <w:numFmt w:val="lowerLetter"/>
      <w:lvlText w:val="%2."/>
      <w:lvlJc w:val="left"/>
      <w:pPr>
        <w:ind w:left="1440" w:hanging="360"/>
      </w:pPr>
    </w:lvl>
    <w:lvl w:ilvl="2" w:tplc="027A711A">
      <w:start w:val="1"/>
      <w:numFmt w:val="lowerRoman"/>
      <w:lvlText w:val="%3."/>
      <w:lvlJc w:val="right"/>
      <w:pPr>
        <w:ind w:left="2160" w:hanging="180"/>
      </w:pPr>
    </w:lvl>
    <w:lvl w:ilvl="3" w:tplc="69788160">
      <w:start w:val="1"/>
      <w:numFmt w:val="decimal"/>
      <w:lvlText w:val="%4."/>
      <w:lvlJc w:val="left"/>
      <w:pPr>
        <w:ind w:left="2880" w:hanging="360"/>
      </w:pPr>
    </w:lvl>
    <w:lvl w:ilvl="4" w:tplc="B374FE8C">
      <w:start w:val="1"/>
      <w:numFmt w:val="lowerLetter"/>
      <w:lvlText w:val="%5."/>
      <w:lvlJc w:val="left"/>
      <w:pPr>
        <w:ind w:left="3600" w:hanging="360"/>
      </w:pPr>
    </w:lvl>
    <w:lvl w:ilvl="5" w:tplc="05C84196">
      <w:start w:val="1"/>
      <w:numFmt w:val="lowerRoman"/>
      <w:lvlText w:val="%6."/>
      <w:lvlJc w:val="right"/>
      <w:pPr>
        <w:ind w:left="4320" w:hanging="180"/>
      </w:pPr>
    </w:lvl>
    <w:lvl w:ilvl="6" w:tplc="AA90C8A0">
      <w:start w:val="1"/>
      <w:numFmt w:val="decimal"/>
      <w:lvlText w:val="%7."/>
      <w:lvlJc w:val="left"/>
      <w:pPr>
        <w:ind w:left="5040" w:hanging="360"/>
      </w:pPr>
    </w:lvl>
    <w:lvl w:ilvl="7" w:tplc="2ED6145E">
      <w:start w:val="1"/>
      <w:numFmt w:val="lowerLetter"/>
      <w:lvlText w:val="%8."/>
      <w:lvlJc w:val="left"/>
      <w:pPr>
        <w:ind w:left="5760" w:hanging="360"/>
      </w:pPr>
    </w:lvl>
    <w:lvl w:ilvl="8" w:tplc="C7A45D5A">
      <w:start w:val="1"/>
      <w:numFmt w:val="lowerRoman"/>
      <w:lvlText w:val="%9."/>
      <w:lvlJc w:val="right"/>
      <w:pPr>
        <w:ind w:left="6480" w:hanging="180"/>
      </w:pPr>
    </w:lvl>
  </w:abstractNum>
  <w:abstractNum w:abstractNumId="1" w15:restartNumberingAfterBreak="0">
    <w:nsid w:val="04132349"/>
    <w:multiLevelType w:val="hybridMultilevel"/>
    <w:tmpl w:val="6CB0FDB0"/>
    <w:lvl w:ilvl="0" w:tplc="1120807A">
      <w:start w:val="1"/>
      <w:numFmt w:val="bullet"/>
      <w:lvlText w:val=""/>
      <w:lvlJc w:val="left"/>
      <w:pPr>
        <w:ind w:left="720" w:hanging="360"/>
      </w:pPr>
      <w:rPr>
        <w:rFonts w:ascii="Wingdings" w:hAnsi="Wingdings" w:hint="default"/>
      </w:rPr>
    </w:lvl>
    <w:lvl w:ilvl="1" w:tplc="68E0D4C0">
      <w:start w:val="1"/>
      <w:numFmt w:val="bullet"/>
      <w:lvlText w:val="o"/>
      <w:lvlJc w:val="left"/>
      <w:pPr>
        <w:ind w:left="1440" w:hanging="360"/>
      </w:pPr>
      <w:rPr>
        <w:rFonts w:ascii="Courier New" w:hAnsi="Courier New" w:hint="default"/>
      </w:rPr>
    </w:lvl>
    <w:lvl w:ilvl="2" w:tplc="876CDCB2">
      <w:start w:val="1"/>
      <w:numFmt w:val="bullet"/>
      <w:lvlText w:val=""/>
      <w:lvlJc w:val="left"/>
      <w:pPr>
        <w:ind w:left="2160" w:hanging="360"/>
      </w:pPr>
      <w:rPr>
        <w:rFonts w:ascii="Wingdings" w:hAnsi="Wingdings" w:hint="default"/>
      </w:rPr>
    </w:lvl>
    <w:lvl w:ilvl="3" w:tplc="5CF474A8">
      <w:start w:val="1"/>
      <w:numFmt w:val="bullet"/>
      <w:lvlText w:val=""/>
      <w:lvlJc w:val="left"/>
      <w:pPr>
        <w:ind w:left="2880" w:hanging="360"/>
      </w:pPr>
      <w:rPr>
        <w:rFonts w:ascii="Symbol" w:hAnsi="Symbol" w:hint="default"/>
      </w:rPr>
    </w:lvl>
    <w:lvl w:ilvl="4" w:tplc="B84CADE2">
      <w:start w:val="1"/>
      <w:numFmt w:val="bullet"/>
      <w:lvlText w:val="o"/>
      <w:lvlJc w:val="left"/>
      <w:pPr>
        <w:ind w:left="3600" w:hanging="360"/>
      </w:pPr>
      <w:rPr>
        <w:rFonts w:ascii="Courier New" w:hAnsi="Courier New" w:hint="default"/>
      </w:rPr>
    </w:lvl>
    <w:lvl w:ilvl="5" w:tplc="2292C168">
      <w:start w:val="1"/>
      <w:numFmt w:val="bullet"/>
      <w:lvlText w:val=""/>
      <w:lvlJc w:val="left"/>
      <w:pPr>
        <w:ind w:left="4320" w:hanging="360"/>
      </w:pPr>
      <w:rPr>
        <w:rFonts w:ascii="Wingdings" w:hAnsi="Wingdings" w:hint="default"/>
      </w:rPr>
    </w:lvl>
    <w:lvl w:ilvl="6" w:tplc="54E8E2A2">
      <w:start w:val="1"/>
      <w:numFmt w:val="bullet"/>
      <w:lvlText w:val=""/>
      <w:lvlJc w:val="left"/>
      <w:pPr>
        <w:ind w:left="5040" w:hanging="360"/>
      </w:pPr>
      <w:rPr>
        <w:rFonts w:ascii="Symbol" w:hAnsi="Symbol" w:hint="default"/>
      </w:rPr>
    </w:lvl>
    <w:lvl w:ilvl="7" w:tplc="152EE61C">
      <w:start w:val="1"/>
      <w:numFmt w:val="bullet"/>
      <w:lvlText w:val="o"/>
      <w:lvlJc w:val="left"/>
      <w:pPr>
        <w:ind w:left="5760" w:hanging="360"/>
      </w:pPr>
      <w:rPr>
        <w:rFonts w:ascii="Courier New" w:hAnsi="Courier New" w:hint="default"/>
      </w:rPr>
    </w:lvl>
    <w:lvl w:ilvl="8" w:tplc="4CF6DF58">
      <w:start w:val="1"/>
      <w:numFmt w:val="bullet"/>
      <w:lvlText w:val=""/>
      <w:lvlJc w:val="left"/>
      <w:pPr>
        <w:ind w:left="6480" w:hanging="360"/>
      </w:pPr>
      <w:rPr>
        <w:rFonts w:ascii="Wingdings" w:hAnsi="Wingdings" w:hint="default"/>
      </w:rPr>
    </w:lvl>
  </w:abstractNum>
  <w:abstractNum w:abstractNumId="2" w15:restartNumberingAfterBreak="0">
    <w:nsid w:val="0FA44151"/>
    <w:multiLevelType w:val="hybridMultilevel"/>
    <w:tmpl w:val="5164DE08"/>
    <w:lvl w:ilvl="0" w:tplc="79507A52">
      <w:start w:val="1"/>
      <w:numFmt w:val="decimal"/>
      <w:lvlText w:val="%1)"/>
      <w:lvlJc w:val="left"/>
      <w:pPr>
        <w:ind w:left="720" w:hanging="360"/>
      </w:pPr>
    </w:lvl>
    <w:lvl w:ilvl="1" w:tplc="20408316">
      <w:start w:val="1"/>
      <w:numFmt w:val="lowerLetter"/>
      <w:lvlText w:val="%2."/>
      <w:lvlJc w:val="left"/>
      <w:pPr>
        <w:ind w:left="1440" w:hanging="360"/>
      </w:pPr>
    </w:lvl>
    <w:lvl w:ilvl="2" w:tplc="6706CB9C">
      <w:start w:val="1"/>
      <w:numFmt w:val="lowerRoman"/>
      <w:lvlText w:val="%3."/>
      <w:lvlJc w:val="right"/>
      <w:pPr>
        <w:ind w:left="2160" w:hanging="180"/>
      </w:pPr>
    </w:lvl>
    <w:lvl w:ilvl="3" w:tplc="D4266F76">
      <w:start w:val="1"/>
      <w:numFmt w:val="decimal"/>
      <w:lvlText w:val="%4."/>
      <w:lvlJc w:val="left"/>
      <w:pPr>
        <w:ind w:left="2880" w:hanging="360"/>
      </w:pPr>
    </w:lvl>
    <w:lvl w:ilvl="4" w:tplc="8AAEB57E">
      <w:start w:val="1"/>
      <w:numFmt w:val="lowerLetter"/>
      <w:lvlText w:val="%5."/>
      <w:lvlJc w:val="left"/>
      <w:pPr>
        <w:ind w:left="3600" w:hanging="360"/>
      </w:pPr>
    </w:lvl>
    <w:lvl w:ilvl="5" w:tplc="5BCC3E2C">
      <w:start w:val="1"/>
      <w:numFmt w:val="lowerRoman"/>
      <w:lvlText w:val="%6."/>
      <w:lvlJc w:val="right"/>
      <w:pPr>
        <w:ind w:left="4320" w:hanging="180"/>
      </w:pPr>
    </w:lvl>
    <w:lvl w:ilvl="6" w:tplc="892E41B6">
      <w:start w:val="1"/>
      <w:numFmt w:val="decimal"/>
      <w:lvlText w:val="%7."/>
      <w:lvlJc w:val="left"/>
      <w:pPr>
        <w:ind w:left="5040" w:hanging="360"/>
      </w:pPr>
    </w:lvl>
    <w:lvl w:ilvl="7" w:tplc="5FE6832A">
      <w:start w:val="1"/>
      <w:numFmt w:val="lowerLetter"/>
      <w:lvlText w:val="%8."/>
      <w:lvlJc w:val="left"/>
      <w:pPr>
        <w:ind w:left="5760" w:hanging="360"/>
      </w:pPr>
    </w:lvl>
    <w:lvl w:ilvl="8" w:tplc="55E4A136">
      <w:start w:val="1"/>
      <w:numFmt w:val="lowerRoman"/>
      <w:lvlText w:val="%9."/>
      <w:lvlJc w:val="right"/>
      <w:pPr>
        <w:ind w:left="6480" w:hanging="180"/>
      </w:pPr>
    </w:lvl>
  </w:abstractNum>
  <w:abstractNum w:abstractNumId="3" w15:restartNumberingAfterBreak="0">
    <w:nsid w:val="16E4E0A3"/>
    <w:multiLevelType w:val="hybridMultilevel"/>
    <w:tmpl w:val="69C077E0"/>
    <w:lvl w:ilvl="0" w:tplc="5F688B24">
      <w:start w:val="1"/>
      <w:numFmt w:val="bullet"/>
      <w:lvlText w:val=""/>
      <w:lvlJc w:val="left"/>
      <w:pPr>
        <w:ind w:left="720" w:hanging="360"/>
      </w:pPr>
      <w:rPr>
        <w:rFonts w:ascii="Wingdings" w:hAnsi="Wingdings" w:hint="default"/>
      </w:rPr>
    </w:lvl>
    <w:lvl w:ilvl="1" w:tplc="5704923E">
      <w:start w:val="1"/>
      <w:numFmt w:val="bullet"/>
      <w:lvlText w:val="o"/>
      <w:lvlJc w:val="left"/>
      <w:pPr>
        <w:ind w:left="1440" w:hanging="360"/>
      </w:pPr>
      <w:rPr>
        <w:rFonts w:ascii="Courier New" w:hAnsi="Courier New" w:hint="default"/>
      </w:rPr>
    </w:lvl>
    <w:lvl w:ilvl="2" w:tplc="F5988682">
      <w:start w:val="1"/>
      <w:numFmt w:val="bullet"/>
      <w:lvlText w:val=""/>
      <w:lvlJc w:val="left"/>
      <w:pPr>
        <w:ind w:left="2160" w:hanging="360"/>
      </w:pPr>
      <w:rPr>
        <w:rFonts w:ascii="Wingdings" w:hAnsi="Wingdings" w:hint="default"/>
      </w:rPr>
    </w:lvl>
    <w:lvl w:ilvl="3" w:tplc="A9D833F8">
      <w:start w:val="1"/>
      <w:numFmt w:val="bullet"/>
      <w:lvlText w:val=""/>
      <w:lvlJc w:val="left"/>
      <w:pPr>
        <w:ind w:left="2880" w:hanging="360"/>
      </w:pPr>
      <w:rPr>
        <w:rFonts w:ascii="Symbol" w:hAnsi="Symbol" w:hint="default"/>
      </w:rPr>
    </w:lvl>
    <w:lvl w:ilvl="4" w:tplc="FAD0A550">
      <w:start w:val="1"/>
      <w:numFmt w:val="bullet"/>
      <w:lvlText w:val="o"/>
      <w:lvlJc w:val="left"/>
      <w:pPr>
        <w:ind w:left="3600" w:hanging="360"/>
      </w:pPr>
      <w:rPr>
        <w:rFonts w:ascii="Courier New" w:hAnsi="Courier New" w:hint="default"/>
      </w:rPr>
    </w:lvl>
    <w:lvl w:ilvl="5" w:tplc="8A58DF2A">
      <w:start w:val="1"/>
      <w:numFmt w:val="bullet"/>
      <w:lvlText w:val=""/>
      <w:lvlJc w:val="left"/>
      <w:pPr>
        <w:ind w:left="4320" w:hanging="360"/>
      </w:pPr>
      <w:rPr>
        <w:rFonts w:ascii="Wingdings" w:hAnsi="Wingdings" w:hint="default"/>
      </w:rPr>
    </w:lvl>
    <w:lvl w:ilvl="6" w:tplc="ECC02A70">
      <w:start w:val="1"/>
      <w:numFmt w:val="bullet"/>
      <w:lvlText w:val=""/>
      <w:lvlJc w:val="left"/>
      <w:pPr>
        <w:ind w:left="5040" w:hanging="360"/>
      </w:pPr>
      <w:rPr>
        <w:rFonts w:ascii="Symbol" w:hAnsi="Symbol" w:hint="default"/>
      </w:rPr>
    </w:lvl>
    <w:lvl w:ilvl="7" w:tplc="9044FBFE">
      <w:start w:val="1"/>
      <w:numFmt w:val="bullet"/>
      <w:lvlText w:val="o"/>
      <w:lvlJc w:val="left"/>
      <w:pPr>
        <w:ind w:left="5760" w:hanging="360"/>
      </w:pPr>
      <w:rPr>
        <w:rFonts w:ascii="Courier New" w:hAnsi="Courier New" w:hint="default"/>
      </w:rPr>
    </w:lvl>
    <w:lvl w:ilvl="8" w:tplc="D5BAE284">
      <w:start w:val="1"/>
      <w:numFmt w:val="bullet"/>
      <w:lvlText w:val=""/>
      <w:lvlJc w:val="left"/>
      <w:pPr>
        <w:ind w:left="6480" w:hanging="360"/>
      </w:pPr>
      <w:rPr>
        <w:rFonts w:ascii="Wingdings" w:hAnsi="Wingdings" w:hint="default"/>
      </w:rPr>
    </w:lvl>
  </w:abstractNum>
  <w:abstractNum w:abstractNumId="4" w15:restartNumberingAfterBreak="0">
    <w:nsid w:val="17E65016"/>
    <w:multiLevelType w:val="hybridMultilevel"/>
    <w:tmpl w:val="0F488AAE"/>
    <w:lvl w:ilvl="0" w:tplc="DF9ABD44">
      <w:start w:val="1"/>
      <w:numFmt w:val="bullet"/>
      <w:lvlText w:val=""/>
      <w:lvlJc w:val="left"/>
      <w:pPr>
        <w:ind w:left="720" w:hanging="360"/>
      </w:pPr>
      <w:rPr>
        <w:rFonts w:ascii="Wingdings" w:hAnsi="Wingdings" w:hint="default"/>
      </w:rPr>
    </w:lvl>
    <w:lvl w:ilvl="1" w:tplc="7178890E">
      <w:start w:val="1"/>
      <w:numFmt w:val="bullet"/>
      <w:lvlText w:val="o"/>
      <w:lvlJc w:val="left"/>
      <w:pPr>
        <w:ind w:left="1440" w:hanging="360"/>
      </w:pPr>
      <w:rPr>
        <w:rFonts w:ascii="Courier New" w:hAnsi="Courier New" w:hint="default"/>
      </w:rPr>
    </w:lvl>
    <w:lvl w:ilvl="2" w:tplc="88FEEE90">
      <w:start w:val="1"/>
      <w:numFmt w:val="bullet"/>
      <w:lvlText w:val=""/>
      <w:lvlJc w:val="left"/>
      <w:pPr>
        <w:ind w:left="2160" w:hanging="360"/>
      </w:pPr>
      <w:rPr>
        <w:rFonts w:ascii="Wingdings" w:hAnsi="Wingdings" w:hint="default"/>
      </w:rPr>
    </w:lvl>
    <w:lvl w:ilvl="3" w:tplc="CB7CF050">
      <w:start w:val="1"/>
      <w:numFmt w:val="bullet"/>
      <w:lvlText w:val=""/>
      <w:lvlJc w:val="left"/>
      <w:pPr>
        <w:ind w:left="2880" w:hanging="360"/>
      </w:pPr>
      <w:rPr>
        <w:rFonts w:ascii="Symbol" w:hAnsi="Symbol" w:hint="default"/>
      </w:rPr>
    </w:lvl>
    <w:lvl w:ilvl="4" w:tplc="DF9CF790">
      <w:start w:val="1"/>
      <w:numFmt w:val="bullet"/>
      <w:lvlText w:val="o"/>
      <w:lvlJc w:val="left"/>
      <w:pPr>
        <w:ind w:left="3600" w:hanging="360"/>
      </w:pPr>
      <w:rPr>
        <w:rFonts w:ascii="Courier New" w:hAnsi="Courier New" w:hint="default"/>
      </w:rPr>
    </w:lvl>
    <w:lvl w:ilvl="5" w:tplc="D2047E84">
      <w:start w:val="1"/>
      <w:numFmt w:val="bullet"/>
      <w:lvlText w:val=""/>
      <w:lvlJc w:val="left"/>
      <w:pPr>
        <w:ind w:left="4320" w:hanging="360"/>
      </w:pPr>
      <w:rPr>
        <w:rFonts w:ascii="Wingdings" w:hAnsi="Wingdings" w:hint="default"/>
      </w:rPr>
    </w:lvl>
    <w:lvl w:ilvl="6" w:tplc="33E43936">
      <w:start w:val="1"/>
      <w:numFmt w:val="bullet"/>
      <w:lvlText w:val=""/>
      <w:lvlJc w:val="left"/>
      <w:pPr>
        <w:ind w:left="5040" w:hanging="360"/>
      </w:pPr>
      <w:rPr>
        <w:rFonts w:ascii="Symbol" w:hAnsi="Symbol" w:hint="default"/>
      </w:rPr>
    </w:lvl>
    <w:lvl w:ilvl="7" w:tplc="3F0C1F08">
      <w:start w:val="1"/>
      <w:numFmt w:val="bullet"/>
      <w:lvlText w:val="o"/>
      <w:lvlJc w:val="left"/>
      <w:pPr>
        <w:ind w:left="5760" w:hanging="360"/>
      </w:pPr>
      <w:rPr>
        <w:rFonts w:ascii="Courier New" w:hAnsi="Courier New" w:hint="default"/>
      </w:rPr>
    </w:lvl>
    <w:lvl w:ilvl="8" w:tplc="D6BA36D0">
      <w:start w:val="1"/>
      <w:numFmt w:val="bullet"/>
      <w:lvlText w:val=""/>
      <w:lvlJc w:val="left"/>
      <w:pPr>
        <w:ind w:left="6480" w:hanging="360"/>
      </w:pPr>
      <w:rPr>
        <w:rFonts w:ascii="Wingdings" w:hAnsi="Wingdings" w:hint="default"/>
      </w:rPr>
    </w:lvl>
  </w:abstractNum>
  <w:abstractNum w:abstractNumId="5" w15:restartNumberingAfterBreak="0">
    <w:nsid w:val="1CAF13F8"/>
    <w:multiLevelType w:val="hybridMultilevel"/>
    <w:tmpl w:val="AD08BAE2"/>
    <w:lvl w:ilvl="0" w:tplc="F6EE90D2">
      <w:start w:val="4"/>
      <w:numFmt w:val="decimal"/>
      <w:lvlText w:val="%1."/>
      <w:lvlJc w:val="left"/>
      <w:pPr>
        <w:ind w:left="720" w:hanging="360"/>
      </w:pPr>
    </w:lvl>
    <w:lvl w:ilvl="1" w:tplc="4F28079E">
      <w:start w:val="1"/>
      <w:numFmt w:val="lowerLetter"/>
      <w:lvlText w:val="%2."/>
      <w:lvlJc w:val="left"/>
      <w:pPr>
        <w:ind w:left="1440" w:hanging="360"/>
      </w:pPr>
    </w:lvl>
    <w:lvl w:ilvl="2" w:tplc="729EBA76">
      <w:start w:val="1"/>
      <w:numFmt w:val="lowerRoman"/>
      <w:lvlText w:val="%3."/>
      <w:lvlJc w:val="right"/>
      <w:pPr>
        <w:ind w:left="2160" w:hanging="180"/>
      </w:pPr>
    </w:lvl>
    <w:lvl w:ilvl="3" w:tplc="B544A4D4">
      <w:start w:val="1"/>
      <w:numFmt w:val="decimal"/>
      <w:lvlText w:val="%4."/>
      <w:lvlJc w:val="left"/>
      <w:pPr>
        <w:ind w:left="2880" w:hanging="360"/>
      </w:pPr>
    </w:lvl>
    <w:lvl w:ilvl="4" w:tplc="C5DE5108">
      <w:start w:val="1"/>
      <w:numFmt w:val="lowerLetter"/>
      <w:lvlText w:val="%5."/>
      <w:lvlJc w:val="left"/>
      <w:pPr>
        <w:ind w:left="3600" w:hanging="360"/>
      </w:pPr>
    </w:lvl>
    <w:lvl w:ilvl="5" w:tplc="24F42E02">
      <w:start w:val="1"/>
      <w:numFmt w:val="lowerRoman"/>
      <w:lvlText w:val="%6."/>
      <w:lvlJc w:val="right"/>
      <w:pPr>
        <w:ind w:left="4320" w:hanging="180"/>
      </w:pPr>
    </w:lvl>
    <w:lvl w:ilvl="6" w:tplc="89EA6C70">
      <w:start w:val="1"/>
      <w:numFmt w:val="decimal"/>
      <w:lvlText w:val="%7."/>
      <w:lvlJc w:val="left"/>
      <w:pPr>
        <w:ind w:left="5040" w:hanging="360"/>
      </w:pPr>
    </w:lvl>
    <w:lvl w:ilvl="7" w:tplc="681692B6">
      <w:start w:val="1"/>
      <w:numFmt w:val="lowerLetter"/>
      <w:lvlText w:val="%8."/>
      <w:lvlJc w:val="left"/>
      <w:pPr>
        <w:ind w:left="5760" w:hanging="360"/>
      </w:pPr>
    </w:lvl>
    <w:lvl w:ilvl="8" w:tplc="B8BA387A">
      <w:start w:val="1"/>
      <w:numFmt w:val="lowerRoman"/>
      <w:lvlText w:val="%9."/>
      <w:lvlJc w:val="right"/>
      <w:pPr>
        <w:ind w:left="6480" w:hanging="180"/>
      </w:pPr>
    </w:lvl>
  </w:abstractNum>
  <w:abstractNum w:abstractNumId="6" w15:restartNumberingAfterBreak="0">
    <w:nsid w:val="3245CCA8"/>
    <w:multiLevelType w:val="hybridMultilevel"/>
    <w:tmpl w:val="117C0AE6"/>
    <w:lvl w:ilvl="0" w:tplc="93DE3D02">
      <w:start w:val="1"/>
      <w:numFmt w:val="upperRoman"/>
      <w:lvlText w:val="%1."/>
      <w:lvlJc w:val="right"/>
      <w:pPr>
        <w:ind w:left="720" w:hanging="360"/>
      </w:pPr>
    </w:lvl>
    <w:lvl w:ilvl="1" w:tplc="FA0EA792">
      <w:start w:val="1"/>
      <w:numFmt w:val="lowerLetter"/>
      <w:lvlText w:val="%2."/>
      <w:lvlJc w:val="left"/>
      <w:pPr>
        <w:ind w:left="1440" w:hanging="360"/>
      </w:pPr>
    </w:lvl>
    <w:lvl w:ilvl="2" w:tplc="14823B82">
      <w:start w:val="1"/>
      <w:numFmt w:val="lowerRoman"/>
      <w:lvlText w:val="%3."/>
      <w:lvlJc w:val="right"/>
      <w:pPr>
        <w:ind w:left="2160" w:hanging="180"/>
      </w:pPr>
    </w:lvl>
    <w:lvl w:ilvl="3" w:tplc="3C5E3DEE">
      <w:start w:val="1"/>
      <w:numFmt w:val="decimal"/>
      <w:lvlText w:val="%4."/>
      <w:lvlJc w:val="left"/>
      <w:pPr>
        <w:ind w:left="2880" w:hanging="360"/>
      </w:pPr>
    </w:lvl>
    <w:lvl w:ilvl="4" w:tplc="29A27846">
      <w:start w:val="1"/>
      <w:numFmt w:val="lowerLetter"/>
      <w:lvlText w:val="%5."/>
      <w:lvlJc w:val="left"/>
      <w:pPr>
        <w:ind w:left="3600" w:hanging="360"/>
      </w:pPr>
    </w:lvl>
    <w:lvl w:ilvl="5" w:tplc="90908EBC">
      <w:start w:val="1"/>
      <w:numFmt w:val="lowerRoman"/>
      <w:lvlText w:val="%6."/>
      <w:lvlJc w:val="right"/>
      <w:pPr>
        <w:ind w:left="4320" w:hanging="180"/>
      </w:pPr>
    </w:lvl>
    <w:lvl w:ilvl="6" w:tplc="39B8D804">
      <w:start w:val="1"/>
      <w:numFmt w:val="decimal"/>
      <w:lvlText w:val="%7."/>
      <w:lvlJc w:val="left"/>
      <w:pPr>
        <w:ind w:left="5040" w:hanging="360"/>
      </w:pPr>
    </w:lvl>
    <w:lvl w:ilvl="7" w:tplc="9752A344">
      <w:start w:val="1"/>
      <w:numFmt w:val="lowerLetter"/>
      <w:lvlText w:val="%8."/>
      <w:lvlJc w:val="left"/>
      <w:pPr>
        <w:ind w:left="5760" w:hanging="360"/>
      </w:pPr>
    </w:lvl>
    <w:lvl w:ilvl="8" w:tplc="DCECE546">
      <w:start w:val="1"/>
      <w:numFmt w:val="lowerRoman"/>
      <w:lvlText w:val="%9."/>
      <w:lvlJc w:val="right"/>
      <w:pPr>
        <w:ind w:left="6480" w:hanging="180"/>
      </w:pPr>
    </w:lvl>
  </w:abstractNum>
  <w:abstractNum w:abstractNumId="7" w15:restartNumberingAfterBreak="0">
    <w:nsid w:val="3525843D"/>
    <w:multiLevelType w:val="hybridMultilevel"/>
    <w:tmpl w:val="064CDA5C"/>
    <w:lvl w:ilvl="0" w:tplc="AD2E2DC2">
      <w:start w:val="1"/>
      <w:numFmt w:val="decimal"/>
      <w:lvlText w:val="%1."/>
      <w:lvlJc w:val="left"/>
      <w:pPr>
        <w:ind w:left="720" w:hanging="360"/>
      </w:pPr>
    </w:lvl>
    <w:lvl w:ilvl="1" w:tplc="BC105F92">
      <w:start w:val="1"/>
      <w:numFmt w:val="lowerLetter"/>
      <w:lvlText w:val="%2."/>
      <w:lvlJc w:val="left"/>
      <w:pPr>
        <w:ind w:left="1440" w:hanging="360"/>
      </w:pPr>
    </w:lvl>
    <w:lvl w:ilvl="2" w:tplc="CDB0641C">
      <w:start w:val="1"/>
      <w:numFmt w:val="lowerRoman"/>
      <w:lvlText w:val="%3."/>
      <w:lvlJc w:val="right"/>
      <w:pPr>
        <w:ind w:left="2160" w:hanging="180"/>
      </w:pPr>
    </w:lvl>
    <w:lvl w:ilvl="3" w:tplc="18DE7916">
      <w:start w:val="1"/>
      <w:numFmt w:val="decimal"/>
      <w:lvlText w:val="%4."/>
      <w:lvlJc w:val="left"/>
      <w:pPr>
        <w:ind w:left="2880" w:hanging="360"/>
      </w:pPr>
    </w:lvl>
    <w:lvl w:ilvl="4" w:tplc="BCD4B326">
      <w:start w:val="1"/>
      <w:numFmt w:val="lowerLetter"/>
      <w:lvlText w:val="%5."/>
      <w:lvlJc w:val="left"/>
      <w:pPr>
        <w:ind w:left="3600" w:hanging="360"/>
      </w:pPr>
    </w:lvl>
    <w:lvl w:ilvl="5" w:tplc="4140B304">
      <w:start w:val="1"/>
      <w:numFmt w:val="lowerRoman"/>
      <w:lvlText w:val="%6."/>
      <w:lvlJc w:val="right"/>
      <w:pPr>
        <w:ind w:left="4320" w:hanging="180"/>
      </w:pPr>
    </w:lvl>
    <w:lvl w:ilvl="6" w:tplc="18BAFEE6">
      <w:start w:val="1"/>
      <w:numFmt w:val="decimal"/>
      <w:lvlText w:val="%7."/>
      <w:lvlJc w:val="left"/>
      <w:pPr>
        <w:ind w:left="5040" w:hanging="360"/>
      </w:pPr>
    </w:lvl>
    <w:lvl w:ilvl="7" w:tplc="89400584">
      <w:start w:val="1"/>
      <w:numFmt w:val="lowerLetter"/>
      <w:lvlText w:val="%8."/>
      <w:lvlJc w:val="left"/>
      <w:pPr>
        <w:ind w:left="5760" w:hanging="360"/>
      </w:pPr>
    </w:lvl>
    <w:lvl w:ilvl="8" w:tplc="D2080B26">
      <w:start w:val="1"/>
      <w:numFmt w:val="lowerRoman"/>
      <w:lvlText w:val="%9."/>
      <w:lvlJc w:val="right"/>
      <w:pPr>
        <w:ind w:left="6480" w:hanging="180"/>
      </w:pPr>
    </w:lvl>
  </w:abstractNum>
  <w:abstractNum w:abstractNumId="8" w15:restartNumberingAfterBreak="0">
    <w:nsid w:val="364E0768"/>
    <w:multiLevelType w:val="hybridMultilevel"/>
    <w:tmpl w:val="5F4C5A18"/>
    <w:lvl w:ilvl="0" w:tplc="9F02B242">
      <w:start w:val="1"/>
      <w:numFmt w:val="decimal"/>
      <w:lvlText w:val="%1."/>
      <w:lvlJc w:val="left"/>
      <w:pPr>
        <w:ind w:left="720" w:hanging="360"/>
      </w:pPr>
    </w:lvl>
    <w:lvl w:ilvl="1" w:tplc="44C82FC0">
      <w:start w:val="1"/>
      <w:numFmt w:val="lowerLetter"/>
      <w:lvlText w:val="%2."/>
      <w:lvlJc w:val="left"/>
      <w:pPr>
        <w:ind w:left="1440" w:hanging="360"/>
      </w:pPr>
    </w:lvl>
    <w:lvl w:ilvl="2" w:tplc="287A2B0E">
      <w:start w:val="1"/>
      <w:numFmt w:val="lowerRoman"/>
      <w:lvlText w:val="%3."/>
      <w:lvlJc w:val="right"/>
      <w:pPr>
        <w:ind w:left="2160" w:hanging="180"/>
      </w:pPr>
    </w:lvl>
    <w:lvl w:ilvl="3" w:tplc="299245C8">
      <w:start w:val="1"/>
      <w:numFmt w:val="decimal"/>
      <w:lvlText w:val="%4."/>
      <w:lvlJc w:val="left"/>
      <w:pPr>
        <w:ind w:left="2880" w:hanging="360"/>
      </w:pPr>
    </w:lvl>
    <w:lvl w:ilvl="4" w:tplc="72D6F394">
      <w:start w:val="1"/>
      <w:numFmt w:val="lowerLetter"/>
      <w:lvlText w:val="%5."/>
      <w:lvlJc w:val="left"/>
      <w:pPr>
        <w:ind w:left="3600" w:hanging="360"/>
      </w:pPr>
    </w:lvl>
    <w:lvl w:ilvl="5" w:tplc="10A6F3B8">
      <w:start w:val="1"/>
      <w:numFmt w:val="lowerRoman"/>
      <w:lvlText w:val="%6."/>
      <w:lvlJc w:val="right"/>
      <w:pPr>
        <w:ind w:left="4320" w:hanging="180"/>
      </w:pPr>
    </w:lvl>
    <w:lvl w:ilvl="6" w:tplc="8698EC5A">
      <w:start w:val="1"/>
      <w:numFmt w:val="decimal"/>
      <w:lvlText w:val="%7."/>
      <w:lvlJc w:val="left"/>
      <w:pPr>
        <w:ind w:left="5040" w:hanging="360"/>
      </w:pPr>
    </w:lvl>
    <w:lvl w:ilvl="7" w:tplc="C2000120">
      <w:start w:val="1"/>
      <w:numFmt w:val="lowerLetter"/>
      <w:lvlText w:val="%8."/>
      <w:lvlJc w:val="left"/>
      <w:pPr>
        <w:ind w:left="5760" w:hanging="360"/>
      </w:pPr>
    </w:lvl>
    <w:lvl w:ilvl="8" w:tplc="63C29BCE">
      <w:start w:val="1"/>
      <w:numFmt w:val="lowerRoman"/>
      <w:lvlText w:val="%9."/>
      <w:lvlJc w:val="right"/>
      <w:pPr>
        <w:ind w:left="6480" w:hanging="180"/>
      </w:pPr>
    </w:lvl>
  </w:abstractNum>
  <w:abstractNum w:abstractNumId="9" w15:restartNumberingAfterBreak="0">
    <w:nsid w:val="40223655"/>
    <w:multiLevelType w:val="hybridMultilevel"/>
    <w:tmpl w:val="7FEACC36"/>
    <w:lvl w:ilvl="0" w:tplc="CF882A58">
      <w:start w:val="1"/>
      <w:numFmt w:val="bullet"/>
      <w:lvlText w:val=""/>
      <w:lvlJc w:val="left"/>
      <w:pPr>
        <w:ind w:left="720" w:hanging="360"/>
      </w:pPr>
      <w:rPr>
        <w:rFonts w:ascii="Wingdings" w:hAnsi="Wingdings" w:hint="default"/>
      </w:rPr>
    </w:lvl>
    <w:lvl w:ilvl="1" w:tplc="0122EAB8">
      <w:start w:val="1"/>
      <w:numFmt w:val="bullet"/>
      <w:lvlText w:val="o"/>
      <w:lvlJc w:val="left"/>
      <w:pPr>
        <w:ind w:left="1440" w:hanging="360"/>
      </w:pPr>
      <w:rPr>
        <w:rFonts w:ascii="Courier New" w:hAnsi="Courier New" w:hint="default"/>
      </w:rPr>
    </w:lvl>
    <w:lvl w:ilvl="2" w:tplc="3B90709A">
      <w:start w:val="1"/>
      <w:numFmt w:val="bullet"/>
      <w:lvlText w:val=""/>
      <w:lvlJc w:val="left"/>
      <w:pPr>
        <w:ind w:left="2160" w:hanging="360"/>
      </w:pPr>
      <w:rPr>
        <w:rFonts w:ascii="Wingdings" w:hAnsi="Wingdings" w:hint="default"/>
      </w:rPr>
    </w:lvl>
    <w:lvl w:ilvl="3" w:tplc="25B2764A">
      <w:start w:val="1"/>
      <w:numFmt w:val="bullet"/>
      <w:lvlText w:val=""/>
      <w:lvlJc w:val="left"/>
      <w:pPr>
        <w:ind w:left="2880" w:hanging="360"/>
      </w:pPr>
      <w:rPr>
        <w:rFonts w:ascii="Symbol" w:hAnsi="Symbol" w:hint="default"/>
      </w:rPr>
    </w:lvl>
    <w:lvl w:ilvl="4" w:tplc="5720BEFA">
      <w:start w:val="1"/>
      <w:numFmt w:val="bullet"/>
      <w:lvlText w:val="o"/>
      <w:lvlJc w:val="left"/>
      <w:pPr>
        <w:ind w:left="3600" w:hanging="360"/>
      </w:pPr>
      <w:rPr>
        <w:rFonts w:ascii="Courier New" w:hAnsi="Courier New" w:hint="default"/>
      </w:rPr>
    </w:lvl>
    <w:lvl w:ilvl="5" w:tplc="2D3001AA">
      <w:start w:val="1"/>
      <w:numFmt w:val="bullet"/>
      <w:lvlText w:val=""/>
      <w:lvlJc w:val="left"/>
      <w:pPr>
        <w:ind w:left="4320" w:hanging="360"/>
      </w:pPr>
      <w:rPr>
        <w:rFonts w:ascii="Wingdings" w:hAnsi="Wingdings" w:hint="default"/>
      </w:rPr>
    </w:lvl>
    <w:lvl w:ilvl="6" w:tplc="424261EA">
      <w:start w:val="1"/>
      <w:numFmt w:val="bullet"/>
      <w:lvlText w:val=""/>
      <w:lvlJc w:val="left"/>
      <w:pPr>
        <w:ind w:left="5040" w:hanging="360"/>
      </w:pPr>
      <w:rPr>
        <w:rFonts w:ascii="Symbol" w:hAnsi="Symbol" w:hint="default"/>
      </w:rPr>
    </w:lvl>
    <w:lvl w:ilvl="7" w:tplc="C2281B9E">
      <w:start w:val="1"/>
      <w:numFmt w:val="bullet"/>
      <w:lvlText w:val="o"/>
      <w:lvlJc w:val="left"/>
      <w:pPr>
        <w:ind w:left="5760" w:hanging="360"/>
      </w:pPr>
      <w:rPr>
        <w:rFonts w:ascii="Courier New" w:hAnsi="Courier New" w:hint="default"/>
      </w:rPr>
    </w:lvl>
    <w:lvl w:ilvl="8" w:tplc="D862B8E2">
      <w:start w:val="1"/>
      <w:numFmt w:val="bullet"/>
      <w:lvlText w:val=""/>
      <w:lvlJc w:val="left"/>
      <w:pPr>
        <w:ind w:left="6480" w:hanging="360"/>
      </w:pPr>
      <w:rPr>
        <w:rFonts w:ascii="Wingdings" w:hAnsi="Wingdings" w:hint="default"/>
      </w:rPr>
    </w:lvl>
  </w:abstractNum>
  <w:abstractNum w:abstractNumId="10" w15:restartNumberingAfterBreak="0">
    <w:nsid w:val="4E351F95"/>
    <w:multiLevelType w:val="hybridMultilevel"/>
    <w:tmpl w:val="6770C43A"/>
    <w:lvl w:ilvl="0" w:tplc="69BE1ED0">
      <w:start w:val="1"/>
      <w:numFmt w:val="decimal"/>
      <w:lvlText w:val="%1."/>
      <w:lvlJc w:val="left"/>
      <w:pPr>
        <w:ind w:left="720" w:hanging="360"/>
      </w:pPr>
    </w:lvl>
    <w:lvl w:ilvl="1" w:tplc="6BEE21E4">
      <w:start w:val="1"/>
      <w:numFmt w:val="lowerLetter"/>
      <w:lvlText w:val="%2."/>
      <w:lvlJc w:val="left"/>
      <w:pPr>
        <w:ind w:left="1440" w:hanging="360"/>
      </w:pPr>
    </w:lvl>
    <w:lvl w:ilvl="2" w:tplc="A73C4572">
      <w:start w:val="1"/>
      <w:numFmt w:val="lowerRoman"/>
      <w:lvlText w:val="%3."/>
      <w:lvlJc w:val="right"/>
      <w:pPr>
        <w:ind w:left="2160" w:hanging="180"/>
      </w:pPr>
    </w:lvl>
    <w:lvl w:ilvl="3" w:tplc="8FAC664C">
      <w:start w:val="1"/>
      <w:numFmt w:val="decimal"/>
      <w:lvlText w:val="%4."/>
      <w:lvlJc w:val="left"/>
      <w:pPr>
        <w:ind w:left="2880" w:hanging="360"/>
      </w:pPr>
    </w:lvl>
    <w:lvl w:ilvl="4" w:tplc="079C31A2">
      <w:start w:val="1"/>
      <w:numFmt w:val="lowerLetter"/>
      <w:lvlText w:val="%5."/>
      <w:lvlJc w:val="left"/>
      <w:pPr>
        <w:ind w:left="3600" w:hanging="360"/>
      </w:pPr>
    </w:lvl>
    <w:lvl w:ilvl="5" w:tplc="734473D8">
      <w:start w:val="1"/>
      <w:numFmt w:val="lowerRoman"/>
      <w:lvlText w:val="%6."/>
      <w:lvlJc w:val="right"/>
      <w:pPr>
        <w:ind w:left="4320" w:hanging="180"/>
      </w:pPr>
    </w:lvl>
    <w:lvl w:ilvl="6" w:tplc="89864BB4">
      <w:start w:val="1"/>
      <w:numFmt w:val="decimal"/>
      <w:lvlText w:val="%7."/>
      <w:lvlJc w:val="left"/>
      <w:pPr>
        <w:ind w:left="5040" w:hanging="360"/>
      </w:pPr>
    </w:lvl>
    <w:lvl w:ilvl="7" w:tplc="88385AAA">
      <w:start w:val="1"/>
      <w:numFmt w:val="lowerLetter"/>
      <w:lvlText w:val="%8."/>
      <w:lvlJc w:val="left"/>
      <w:pPr>
        <w:ind w:left="5760" w:hanging="360"/>
      </w:pPr>
    </w:lvl>
    <w:lvl w:ilvl="8" w:tplc="B276E428">
      <w:start w:val="1"/>
      <w:numFmt w:val="lowerRoman"/>
      <w:lvlText w:val="%9."/>
      <w:lvlJc w:val="right"/>
      <w:pPr>
        <w:ind w:left="6480" w:hanging="180"/>
      </w:pPr>
    </w:lvl>
  </w:abstractNum>
  <w:abstractNum w:abstractNumId="11" w15:restartNumberingAfterBreak="0">
    <w:nsid w:val="68D759E2"/>
    <w:multiLevelType w:val="hybridMultilevel"/>
    <w:tmpl w:val="67965E9A"/>
    <w:lvl w:ilvl="0" w:tplc="B982276A">
      <w:start w:val="1"/>
      <w:numFmt w:val="bullet"/>
      <w:lvlText w:val=""/>
      <w:lvlJc w:val="left"/>
      <w:pPr>
        <w:ind w:left="720" w:hanging="360"/>
      </w:pPr>
      <w:rPr>
        <w:rFonts w:ascii="Wingdings" w:hAnsi="Wingdings" w:hint="default"/>
      </w:rPr>
    </w:lvl>
    <w:lvl w:ilvl="1" w:tplc="8F88E1CC">
      <w:start w:val="1"/>
      <w:numFmt w:val="bullet"/>
      <w:lvlText w:val="o"/>
      <w:lvlJc w:val="left"/>
      <w:pPr>
        <w:ind w:left="1440" w:hanging="360"/>
      </w:pPr>
      <w:rPr>
        <w:rFonts w:ascii="Courier New" w:hAnsi="Courier New" w:hint="default"/>
      </w:rPr>
    </w:lvl>
    <w:lvl w:ilvl="2" w:tplc="FC3E8A64">
      <w:start w:val="1"/>
      <w:numFmt w:val="bullet"/>
      <w:lvlText w:val=""/>
      <w:lvlJc w:val="left"/>
      <w:pPr>
        <w:ind w:left="2160" w:hanging="360"/>
      </w:pPr>
      <w:rPr>
        <w:rFonts w:ascii="Wingdings" w:hAnsi="Wingdings" w:hint="default"/>
      </w:rPr>
    </w:lvl>
    <w:lvl w:ilvl="3" w:tplc="BF5E0650">
      <w:start w:val="1"/>
      <w:numFmt w:val="bullet"/>
      <w:lvlText w:val=""/>
      <w:lvlJc w:val="left"/>
      <w:pPr>
        <w:ind w:left="2880" w:hanging="360"/>
      </w:pPr>
      <w:rPr>
        <w:rFonts w:ascii="Symbol" w:hAnsi="Symbol" w:hint="default"/>
      </w:rPr>
    </w:lvl>
    <w:lvl w:ilvl="4" w:tplc="993294DE">
      <w:start w:val="1"/>
      <w:numFmt w:val="bullet"/>
      <w:lvlText w:val="o"/>
      <w:lvlJc w:val="left"/>
      <w:pPr>
        <w:ind w:left="3600" w:hanging="360"/>
      </w:pPr>
      <w:rPr>
        <w:rFonts w:ascii="Courier New" w:hAnsi="Courier New" w:hint="default"/>
      </w:rPr>
    </w:lvl>
    <w:lvl w:ilvl="5" w:tplc="A44C6DE4">
      <w:start w:val="1"/>
      <w:numFmt w:val="bullet"/>
      <w:lvlText w:val=""/>
      <w:lvlJc w:val="left"/>
      <w:pPr>
        <w:ind w:left="4320" w:hanging="360"/>
      </w:pPr>
      <w:rPr>
        <w:rFonts w:ascii="Wingdings" w:hAnsi="Wingdings" w:hint="default"/>
      </w:rPr>
    </w:lvl>
    <w:lvl w:ilvl="6" w:tplc="5E30DE8A">
      <w:start w:val="1"/>
      <w:numFmt w:val="bullet"/>
      <w:lvlText w:val=""/>
      <w:lvlJc w:val="left"/>
      <w:pPr>
        <w:ind w:left="5040" w:hanging="360"/>
      </w:pPr>
      <w:rPr>
        <w:rFonts w:ascii="Symbol" w:hAnsi="Symbol" w:hint="default"/>
      </w:rPr>
    </w:lvl>
    <w:lvl w:ilvl="7" w:tplc="FAD43D28">
      <w:start w:val="1"/>
      <w:numFmt w:val="bullet"/>
      <w:lvlText w:val="o"/>
      <w:lvlJc w:val="left"/>
      <w:pPr>
        <w:ind w:left="5760" w:hanging="360"/>
      </w:pPr>
      <w:rPr>
        <w:rFonts w:ascii="Courier New" w:hAnsi="Courier New" w:hint="default"/>
      </w:rPr>
    </w:lvl>
    <w:lvl w:ilvl="8" w:tplc="B7A831B0">
      <w:start w:val="1"/>
      <w:numFmt w:val="bullet"/>
      <w:lvlText w:val=""/>
      <w:lvlJc w:val="left"/>
      <w:pPr>
        <w:ind w:left="6480" w:hanging="360"/>
      </w:pPr>
      <w:rPr>
        <w:rFonts w:ascii="Wingdings" w:hAnsi="Wingdings" w:hint="default"/>
      </w:rPr>
    </w:lvl>
  </w:abstractNum>
  <w:abstractNum w:abstractNumId="12" w15:restartNumberingAfterBreak="0">
    <w:nsid w:val="69236872"/>
    <w:multiLevelType w:val="hybridMultilevel"/>
    <w:tmpl w:val="EE525262"/>
    <w:lvl w:ilvl="0" w:tplc="033EC1D0">
      <w:start w:val="1"/>
      <w:numFmt w:val="decimal"/>
      <w:lvlText w:val="%1)"/>
      <w:lvlJc w:val="left"/>
      <w:pPr>
        <w:ind w:left="720" w:hanging="360"/>
      </w:pPr>
    </w:lvl>
    <w:lvl w:ilvl="1" w:tplc="F9164C2E">
      <w:start w:val="1"/>
      <w:numFmt w:val="lowerLetter"/>
      <w:lvlText w:val="%2."/>
      <w:lvlJc w:val="left"/>
      <w:pPr>
        <w:ind w:left="1440" w:hanging="360"/>
      </w:pPr>
    </w:lvl>
    <w:lvl w:ilvl="2" w:tplc="0ECE3036">
      <w:start w:val="1"/>
      <w:numFmt w:val="lowerRoman"/>
      <w:lvlText w:val="%3."/>
      <w:lvlJc w:val="right"/>
      <w:pPr>
        <w:ind w:left="2160" w:hanging="180"/>
      </w:pPr>
    </w:lvl>
    <w:lvl w:ilvl="3" w:tplc="D94007BE">
      <w:start w:val="1"/>
      <w:numFmt w:val="decimal"/>
      <w:lvlText w:val="%4."/>
      <w:lvlJc w:val="left"/>
      <w:pPr>
        <w:ind w:left="2880" w:hanging="360"/>
      </w:pPr>
    </w:lvl>
    <w:lvl w:ilvl="4" w:tplc="5AB097B8">
      <w:start w:val="1"/>
      <w:numFmt w:val="lowerLetter"/>
      <w:lvlText w:val="%5."/>
      <w:lvlJc w:val="left"/>
      <w:pPr>
        <w:ind w:left="3600" w:hanging="360"/>
      </w:pPr>
    </w:lvl>
    <w:lvl w:ilvl="5" w:tplc="E6D4ED60">
      <w:start w:val="1"/>
      <w:numFmt w:val="lowerRoman"/>
      <w:lvlText w:val="%6."/>
      <w:lvlJc w:val="right"/>
      <w:pPr>
        <w:ind w:left="4320" w:hanging="180"/>
      </w:pPr>
    </w:lvl>
    <w:lvl w:ilvl="6" w:tplc="40C8C16A">
      <w:start w:val="1"/>
      <w:numFmt w:val="decimal"/>
      <w:lvlText w:val="%7."/>
      <w:lvlJc w:val="left"/>
      <w:pPr>
        <w:ind w:left="5040" w:hanging="360"/>
      </w:pPr>
    </w:lvl>
    <w:lvl w:ilvl="7" w:tplc="71DA4C70">
      <w:start w:val="1"/>
      <w:numFmt w:val="lowerLetter"/>
      <w:lvlText w:val="%8."/>
      <w:lvlJc w:val="left"/>
      <w:pPr>
        <w:ind w:left="5760" w:hanging="360"/>
      </w:pPr>
    </w:lvl>
    <w:lvl w:ilvl="8" w:tplc="E536ED92">
      <w:start w:val="1"/>
      <w:numFmt w:val="lowerRoman"/>
      <w:lvlText w:val="%9."/>
      <w:lvlJc w:val="right"/>
      <w:pPr>
        <w:ind w:left="6480" w:hanging="180"/>
      </w:pPr>
    </w:lvl>
  </w:abstractNum>
  <w:abstractNum w:abstractNumId="13" w15:restartNumberingAfterBreak="0">
    <w:nsid w:val="6B2E2CD1"/>
    <w:multiLevelType w:val="hybridMultilevel"/>
    <w:tmpl w:val="440272D2"/>
    <w:lvl w:ilvl="0" w:tplc="51C69DF6">
      <w:start w:val="1"/>
      <w:numFmt w:val="bullet"/>
      <w:lvlText w:val=""/>
      <w:lvlJc w:val="left"/>
      <w:pPr>
        <w:ind w:left="720" w:hanging="360"/>
      </w:pPr>
      <w:rPr>
        <w:rFonts w:ascii="Wingdings" w:hAnsi="Wingdings" w:hint="default"/>
      </w:rPr>
    </w:lvl>
    <w:lvl w:ilvl="1" w:tplc="74D0E712">
      <w:start w:val="1"/>
      <w:numFmt w:val="bullet"/>
      <w:lvlText w:val="o"/>
      <w:lvlJc w:val="left"/>
      <w:pPr>
        <w:ind w:left="1440" w:hanging="360"/>
      </w:pPr>
      <w:rPr>
        <w:rFonts w:ascii="Courier New" w:hAnsi="Courier New" w:hint="default"/>
      </w:rPr>
    </w:lvl>
    <w:lvl w:ilvl="2" w:tplc="3C7A7DD0">
      <w:start w:val="1"/>
      <w:numFmt w:val="bullet"/>
      <w:lvlText w:val=""/>
      <w:lvlJc w:val="left"/>
      <w:pPr>
        <w:ind w:left="2160" w:hanging="360"/>
      </w:pPr>
      <w:rPr>
        <w:rFonts w:ascii="Wingdings" w:hAnsi="Wingdings" w:hint="default"/>
      </w:rPr>
    </w:lvl>
    <w:lvl w:ilvl="3" w:tplc="F6D62DC6">
      <w:start w:val="1"/>
      <w:numFmt w:val="bullet"/>
      <w:lvlText w:val=""/>
      <w:lvlJc w:val="left"/>
      <w:pPr>
        <w:ind w:left="2880" w:hanging="360"/>
      </w:pPr>
      <w:rPr>
        <w:rFonts w:ascii="Symbol" w:hAnsi="Symbol" w:hint="default"/>
      </w:rPr>
    </w:lvl>
    <w:lvl w:ilvl="4" w:tplc="9370DB4C">
      <w:start w:val="1"/>
      <w:numFmt w:val="bullet"/>
      <w:lvlText w:val="o"/>
      <w:lvlJc w:val="left"/>
      <w:pPr>
        <w:ind w:left="3600" w:hanging="360"/>
      </w:pPr>
      <w:rPr>
        <w:rFonts w:ascii="Courier New" w:hAnsi="Courier New" w:hint="default"/>
      </w:rPr>
    </w:lvl>
    <w:lvl w:ilvl="5" w:tplc="A3F2EC16">
      <w:start w:val="1"/>
      <w:numFmt w:val="bullet"/>
      <w:lvlText w:val=""/>
      <w:lvlJc w:val="left"/>
      <w:pPr>
        <w:ind w:left="4320" w:hanging="360"/>
      </w:pPr>
      <w:rPr>
        <w:rFonts w:ascii="Wingdings" w:hAnsi="Wingdings" w:hint="default"/>
      </w:rPr>
    </w:lvl>
    <w:lvl w:ilvl="6" w:tplc="98EE90EA">
      <w:start w:val="1"/>
      <w:numFmt w:val="bullet"/>
      <w:lvlText w:val=""/>
      <w:lvlJc w:val="left"/>
      <w:pPr>
        <w:ind w:left="5040" w:hanging="360"/>
      </w:pPr>
      <w:rPr>
        <w:rFonts w:ascii="Symbol" w:hAnsi="Symbol" w:hint="default"/>
      </w:rPr>
    </w:lvl>
    <w:lvl w:ilvl="7" w:tplc="C7A82608">
      <w:start w:val="1"/>
      <w:numFmt w:val="bullet"/>
      <w:lvlText w:val="o"/>
      <w:lvlJc w:val="left"/>
      <w:pPr>
        <w:ind w:left="5760" w:hanging="360"/>
      </w:pPr>
      <w:rPr>
        <w:rFonts w:ascii="Courier New" w:hAnsi="Courier New" w:hint="default"/>
      </w:rPr>
    </w:lvl>
    <w:lvl w:ilvl="8" w:tplc="46CA424C">
      <w:start w:val="1"/>
      <w:numFmt w:val="bullet"/>
      <w:lvlText w:val=""/>
      <w:lvlJc w:val="left"/>
      <w:pPr>
        <w:ind w:left="6480" w:hanging="360"/>
      </w:pPr>
      <w:rPr>
        <w:rFonts w:ascii="Wingdings" w:hAnsi="Wingdings" w:hint="default"/>
      </w:rPr>
    </w:lvl>
  </w:abstractNum>
  <w:abstractNum w:abstractNumId="14" w15:restartNumberingAfterBreak="0">
    <w:nsid w:val="79CBC05D"/>
    <w:multiLevelType w:val="hybridMultilevel"/>
    <w:tmpl w:val="6318FFEC"/>
    <w:lvl w:ilvl="0" w:tplc="A1F81E74">
      <w:start w:val="1"/>
      <w:numFmt w:val="bullet"/>
      <w:lvlText w:val=""/>
      <w:lvlJc w:val="left"/>
      <w:pPr>
        <w:ind w:left="720" w:hanging="360"/>
      </w:pPr>
      <w:rPr>
        <w:rFonts w:ascii="Wingdings" w:hAnsi="Wingdings" w:hint="default"/>
      </w:rPr>
    </w:lvl>
    <w:lvl w:ilvl="1" w:tplc="AA12EEC2">
      <w:start w:val="1"/>
      <w:numFmt w:val="bullet"/>
      <w:lvlText w:val="o"/>
      <w:lvlJc w:val="left"/>
      <w:pPr>
        <w:ind w:left="1440" w:hanging="360"/>
      </w:pPr>
      <w:rPr>
        <w:rFonts w:ascii="Courier New" w:hAnsi="Courier New" w:hint="default"/>
      </w:rPr>
    </w:lvl>
    <w:lvl w:ilvl="2" w:tplc="27D0B644">
      <w:start w:val="1"/>
      <w:numFmt w:val="bullet"/>
      <w:lvlText w:val=""/>
      <w:lvlJc w:val="left"/>
      <w:pPr>
        <w:ind w:left="2160" w:hanging="360"/>
      </w:pPr>
      <w:rPr>
        <w:rFonts w:ascii="Wingdings" w:hAnsi="Wingdings" w:hint="default"/>
      </w:rPr>
    </w:lvl>
    <w:lvl w:ilvl="3" w:tplc="EFD2E39C">
      <w:start w:val="1"/>
      <w:numFmt w:val="bullet"/>
      <w:lvlText w:val=""/>
      <w:lvlJc w:val="left"/>
      <w:pPr>
        <w:ind w:left="2880" w:hanging="360"/>
      </w:pPr>
      <w:rPr>
        <w:rFonts w:ascii="Symbol" w:hAnsi="Symbol" w:hint="default"/>
      </w:rPr>
    </w:lvl>
    <w:lvl w:ilvl="4" w:tplc="74EAAAC4">
      <w:start w:val="1"/>
      <w:numFmt w:val="bullet"/>
      <w:lvlText w:val="o"/>
      <w:lvlJc w:val="left"/>
      <w:pPr>
        <w:ind w:left="3600" w:hanging="360"/>
      </w:pPr>
      <w:rPr>
        <w:rFonts w:ascii="Courier New" w:hAnsi="Courier New" w:hint="default"/>
      </w:rPr>
    </w:lvl>
    <w:lvl w:ilvl="5" w:tplc="97D0AFE0">
      <w:start w:val="1"/>
      <w:numFmt w:val="bullet"/>
      <w:lvlText w:val=""/>
      <w:lvlJc w:val="left"/>
      <w:pPr>
        <w:ind w:left="4320" w:hanging="360"/>
      </w:pPr>
      <w:rPr>
        <w:rFonts w:ascii="Wingdings" w:hAnsi="Wingdings" w:hint="default"/>
      </w:rPr>
    </w:lvl>
    <w:lvl w:ilvl="6" w:tplc="9BE41A70">
      <w:start w:val="1"/>
      <w:numFmt w:val="bullet"/>
      <w:lvlText w:val=""/>
      <w:lvlJc w:val="left"/>
      <w:pPr>
        <w:ind w:left="5040" w:hanging="360"/>
      </w:pPr>
      <w:rPr>
        <w:rFonts w:ascii="Symbol" w:hAnsi="Symbol" w:hint="default"/>
      </w:rPr>
    </w:lvl>
    <w:lvl w:ilvl="7" w:tplc="9D846F94">
      <w:start w:val="1"/>
      <w:numFmt w:val="bullet"/>
      <w:lvlText w:val="o"/>
      <w:lvlJc w:val="left"/>
      <w:pPr>
        <w:ind w:left="5760" w:hanging="360"/>
      </w:pPr>
      <w:rPr>
        <w:rFonts w:ascii="Courier New" w:hAnsi="Courier New" w:hint="default"/>
      </w:rPr>
    </w:lvl>
    <w:lvl w:ilvl="8" w:tplc="F54270D8">
      <w:start w:val="1"/>
      <w:numFmt w:val="bullet"/>
      <w:lvlText w:val=""/>
      <w:lvlJc w:val="left"/>
      <w:pPr>
        <w:ind w:left="6480" w:hanging="360"/>
      </w:pPr>
      <w:rPr>
        <w:rFonts w:ascii="Wingdings" w:hAnsi="Wingdings" w:hint="default"/>
      </w:rPr>
    </w:lvl>
  </w:abstractNum>
  <w:num w:numId="1" w16cid:durableId="1574244673">
    <w:abstractNumId w:val="14"/>
  </w:num>
  <w:num w:numId="2" w16cid:durableId="751120874">
    <w:abstractNumId w:val="13"/>
  </w:num>
  <w:num w:numId="3" w16cid:durableId="1380132871">
    <w:abstractNumId w:val="4"/>
  </w:num>
  <w:num w:numId="4" w16cid:durableId="139621524">
    <w:abstractNumId w:val="3"/>
  </w:num>
  <w:num w:numId="5" w16cid:durableId="536047371">
    <w:abstractNumId w:val="11"/>
  </w:num>
  <w:num w:numId="6" w16cid:durableId="1095053308">
    <w:abstractNumId w:val="9"/>
  </w:num>
  <w:num w:numId="7" w16cid:durableId="1781030126">
    <w:abstractNumId w:val="1"/>
  </w:num>
  <w:num w:numId="8" w16cid:durableId="1089813438">
    <w:abstractNumId w:val="0"/>
  </w:num>
  <w:num w:numId="9" w16cid:durableId="1480612494">
    <w:abstractNumId w:val="5"/>
  </w:num>
  <w:num w:numId="10" w16cid:durableId="1037855324">
    <w:abstractNumId w:val="7"/>
  </w:num>
  <w:num w:numId="11" w16cid:durableId="682366072">
    <w:abstractNumId w:val="8"/>
  </w:num>
  <w:num w:numId="12" w16cid:durableId="80028882">
    <w:abstractNumId w:val="12"/>
  </w:num>
  <w:num w:numId="13" w16cid:durableId="125392196">
    <w:abstractNumId w:val="2"/>
  </w:num>
  <w:num w:numId="14" w16cid:durableId="401490913">
    <w:abstractNumId w:val="6"/>
  </w:num>
  <w:num w:numId="15" w16cid:durableId="1093816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AB4122"/>
    <w:rsid w:val="000D5898"/>
    <w:rsid w:val="00172B1A"/>
    <w:rsid w:val="001D1430"/>
    <w:rsid w:val="004B8FA8"/>
    <w:rsid w:val="005B5A7C"/>
    <w:rsid w:val="0074043B"/>
    <w:rsid w:val="008D4906"/>
    <w:rsid w:val="009012A5"/>
    <w:rsid w:val="00A80EEC"/>
    <w:rsid w:val="00BB1E6A"/>
    <w:rsid w:val="00D808D9"/>
    <w:rsid w:val="00F02DD3"/>
    <w:rsid w:val="00FA4B16"/>
    <w:rsid w:val="020FD49C"/>
    <w:rsid w:val="03463EEB"/>
    <w:rsid w:val="03AC4227"/>
    <w:rsid w:val="03D1B7C5"/>
    <w:rsid w:val="03E98C52"/>
    <w:rsid w:val="048024CD"/>
    <w:rsid w:val="0491DF15"/>
    <w:rsid w:val="04924136"/>
    <w:rsid w:val="0547755E"/>
    <w:rsid w:val="055F14BC"/>
    <w:rsid w:val="06B1E37A"/>
    <w:rsid w:val="071102F2"/>
    <w:rsid w:val="0728D3D3"/>
    <w:rsid w:val="072EE53E"/>
    <w:rsid w:val="087F1620"/>
    <w:rsid w:val="088703A6"/>
    <w:rsid w:val="08FB43E3"/>
    <w:rsid w:val="09E10446"/>
    <w:rsid w:val="0AB9B290"/>
    <w:rsid w:val="0DCA2F2A"/>
    <w:rsid w:val="0FAA9541"/>
    <w:rsid w:val="0FCEAF7B"/>
    <w:rsid w:val="12E23603"/>
    <w:rsid w:val="172769D7"/>
    <w:rsid w:val="19AB4122"/>
    <w:rsid w:val="1AD70051"/>
    <w:rsid w:val="1B16F6FE"/>
    <w:rsid w:val="1CB2C75F"/>
    <w:rsid w:val="1D8D35EE"/>
    <w:rsid w:val="1E0C85B0"/>
    <w:rsid w:val="1EB99539"/>
    <w:rsid w:val="1F17AA98"/>
    <w:rsid w:val="1F19535F"/>
    <w:rsid w:val="1F46046D"/>
    <w:rsid w:val="1FA85611"/>
    <w:rsid w:val="1FE7038A"/>
    <w:rsid w:val="21442672"/>
    <w:rsid w:val="222B7E83"/>
    <w:rsid w:val="232208E3"/>
    <w:rsid w:val="232FF5D1"/>
    <w:rsid w:val="235DDF71"/>
    <w:rsid w:val="24865E86"/>
    <w:rsid w:val="26D1CD44"/>
    <w:rsid w:val="270A9525"/>
    <w:rsid w:val="27BDA2B1"/>
    <w:rsid w:val="28526BAD"/>
    <w:rsid w:val="2880BE12"/>
    <w:rsid w:val="2BA53E67"/>
    <w:rsid w:val="2E3B77C8"/>
    <w:rsid w:val="2E3DDF45"/>
    <w:rsid w:val="30A75FD1"/>
    <w:rsid w:val="3198F7B5"/>
    <w:rsid w:val="32E5E941"/>
    <w:rsid w:val="35B7DE52"/>
    <w:rsid w:val="3603D7FF"/>
    <w:rsid w:val="37C931B1"/>
    <w:rsid w:val="3806B03A"/>
    <w:rsid w:val="38C476D6"/>
    <w:rsid w:val="38CFD38B"/>
    <w:rsid w:val="3C1A7491"/>
    <w:rsid w:val="3E247025"/>
    <w:rsid w:val="3E3AC355"/>
    <w:rsid w:val="3F521553"/>
    <w:rsid w:val="3F5579EA"/>
    <w:rsid w:val="3FC04086"/>
    <w:rsid w:val="40C1BD13"/>
    <w:rsid w:val="425D8D74"/>
    <w:rsid w:val="42A0930E"/>
    <w:rsid w:val="43053E4B"/>
    <w:rsid w:val="43A0FB46"/>
    <w:rsid w:val="43EB5CD4"/>
    <w:rsid w:val="4493B1A9"/>
    <w:rsid w:val="45FFFA84"/>
    <w:rsid w:val="462F820A"/>
    <w:rsid w:val="468103A3"/>
    <w:rsid w:val="47233067"/>
    <w:rsid w:val="481CD404"/>
    <w:rsid w:val="4B2B76E8"/>
    <w:rsid w:val="4BB01D46"/>
    <w:rsid w:val="4C046FBA"/>
    <w:rsid w:val="4C3BEA78"/>
    <w:rsid w:val="4CC94402"/>
    <w:rsid w:val="4DCC68BC"/>
    <w:rsid w:val="4DF127B4"/>
    <w:rsid w:val="535C177C"/>
    <w:rsid w:val="54EC425E"/>
    <w:rsid w:val="55DF6827"/>
    <w:rsid w:val="57410EE6"/>
    <w:rsid w:val="577B3888"/>
    <w:rsid w:val="5A57E12C"/>
    <w:rsid w:val="5B254691"/>
    <w:rsid w:val="5E79FC47"/>
    <w:rsid w:val="5F7595E8"/>
    <w:rsid w:val="619FBA70"/>
    <w:rsid w:val="61CB93FE"/>
    <w:rsid w:val="61D4DB02"/>
    <w:rsid w:val="627EE3A7"/>
    <w:rsid w:val="6298B183"/>
    <w:rsid w:val="641AB408"/>
    <w:rsid w:val="64409333"/>
    <w:rsid w:val="65512798"/>
    <w:rsid w:val="68EE252B"/>
    <w:rsid w:val="6BA397AA"/>
    <w:rsid w:val="6C0201C1"/>
    <w:rsid w:val="6DFF14D7"/>
    <w:rsid w:val="712B58E4"/>
    <w:rsid w:val="71D093C2"/>
    <w:rsid w:val="71FD1568"/>
    <w:rsid w:val="7398E5C9"/>
    <w:rsid w:val="74164EAF"/>
    <w:rsid w:val="74F2A41A"/>
    <w:rsid w:val="76BA21B0"/>
    <w:rsid w:val="76D0868B"/>
    <w:rsid w:val="77F6DEB6"/>
    <w:rsid w:val="7855F211"/>
    <w:rsid w:val="7992AF17"/>
    <w:rsid w:val="79DEE38B"/>
    <w:rsid w:val="7A08274D"/>
    <w:rsid w:val="7A804AEC"/>
    <w:rsid w:val="7C38DB96"/>
    <w:rsid w:val="7D7A4ACD"/>
    <w:rsid w:val="7E9DC08A"/>
    <w:rsid w:val="7E9E0A37"/>
    <w:rsid w:val="7EC53395"/>
    <w:rsid w:val="7ED8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4122"/>
  <w15:chartTrackingRefBased/>
  <w15:docId w15:val="{9D221851-5502-476A-90CC-0F12B0F3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FA4B16"/>
    <w:rPr>
      <w:sz w:val="16"/>
      <w:szCs w:val="16"/>
    </w:rPr>
  </w:style>
  <w:style w:type="paragraph" w:styleId="CommentText">
    <w:name w:val="annotation text"/>
    <w:basedOn w:val="Normal"/>
    <w:link w:val="CommentTextChar"/>
    <w:uiPriority w:val="99"/>
    <w:unhideWhenUsed/>
    <w:rsid w:val="00FA4B16"/>
    <w:pPr>
      <w:spacing w:line="240" w:lineRule="auto"/>
    </w:pPr>
    <w:rPr>
      <w:sz w:val="20"/>
      <w:szCs w:val="20"/>
    </w:rPr>
  </w:style>
  <w:style w:type="character" w:customStyle="1" w:styleId="CommentTextChar">
    <w:name w:val="Comment Text Char"/>
    <w:basedOn w:val="DefaultParagraphFont"/>
    <w:link w:val="CommentText"/>
    <w:uiPriority w:val="99"/>
    <w:rsid w:val="00FA4B16"/>
    <w:rPr>
      <w:sz w:val="20"/>
      <w:szCs w:val="20"/>
    </w:rPr>
  </w:style>
  <w:style w:type="paragraph" w:styleId="CommentSubject">
    <w:name w:val="annotation subject"/>
    <w:basedOn w:val="CommentText"/>
    <w:next w:val="CommentText"/>
    <w:link w:val="CommentSubjectChar"/>
    <w:uiPriority w:val="99"/>
    <w:semiHidden/>
    <w:unhideWhenUsed/>
    <w:rsid w:val="00FA4B16"/>
    <w:rPr>
      <w:b/>
      <w:bCs/>
    </w:rPr>
  </w:style>
  <w:style w:type="character" w:customStyle="1" w:styleId="CommentSubjectChar">
    <w:name w:val="Comment Subject Char"/>
    <w:basedOn w:val="CommentTextChar"/>
    <w:link w:val="CommentSubject"/>
    <w:uiPriority w:val="99"/>
    <w:semiHidden/>
    <w:rsid w:val="00FA4B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ogyontario.mndmf.gov.on.ca/mndmaccess/mndm_dir.asp?type=pub&amp;id=ARIP189"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ontario.ca/document/d&#8208;5&#8208;5&#8208;private&#8208;wells&#8208;water&#8208;supply&#8208;assess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Planner</dc:creator>
  <cp:keywords/>
  <dc:description/>
  <cp:lastModifiedBy>Melanie Knight</cp:lastModifiedBy>
  <cp:revision>4</cp:revision>
  <dcterms:created xsi:type="dcterms:W3CDTF">2022-12-15T14:48:00Z</dcterms:created>
  <dcterms:modified xsi:type="dcterms:W3CDTF">2022-12-15T19:04:00Z</dcterms:modified>
</cp:coreProperties>
</file>